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rPr>
          <w:rFonts w:hAnsi="宋体"/>
          <w:b/>
          <w:bCs/>
          <w:sz w:val="36"/>
          <w:szCs w:val="21"/>
        </w:rPr>
      </w:pPr>
    </w:p>
    <w:p>
      <w:pPr>
        <w:spacing w:before="100"/>
        <w:jc w:val="center"/>
        <w:rPr>
          <w:rFonts w:ascii="宋体" w:hAnsi="宋体" w:eastAsia="宋体"/>
          <w:b/>
          <w:sz w:val="52"/>
          <w:szCs w:val="48"/>
          <w:lang w:val="zh-CN"/>
        </w:rPr>
      </w:pPr>
      <w:r>
        <w:rPr>
          <w:rFonts w:hint="eastAsia" w:ascii="宋体" w:hAnsi="宋体" w:eastAsia="宋体"/>
          <w:b/>
          <w:sz w:val="48"/>
          <w:szCs w:val="44"/>
          <w:lang w:val="zh-CN"/>
        </w:rPr>
        <w:t>深圳市公安局</w:t>
      </w:r>
      <w:bookmarkStart w:id="123" w:name="_GoBack"/>
      <w:bookmarkEnd w:id="123"/>
      <w:r>
        <w:rPr>
          <w:rFonts w:hint="eastAsia" w:ascii="宋体" w:hAnsi="宋体" w:eastAsia="宋体"/>
          <w:b/>
          <w:sz w:val="48"/>
          <w:szCs w:val="44"/>
          <w:lang w:val="zh-CN"/>
        </w:rPr>
        <w:t>龙华分局2023年网络安全服务项目</w:t>
      </w:r>
    </w:p>
    <w:p>
      <w:pPr>
        <w:jc w:val="center"/>
        <w:rPr>
          <w:rFonts w:ascii="宋体" w:hAnsi="宋体" w:eastAsia="宋体"/>
          <w:b/>
          <w:sz w:val="40"/>
          <w:szCs w:val="40"/>
        </w:rPr>
      </w:pPr>
    </w:p>
    <w:p>
      <w:pPr>
        <w:jc w:val="center"/>
        <w:rPr>
          <w:rFonts w:ascii="宋体" w:hAnsi="宋体" w:eastAsia="宋体"/>
          <w:b/>
          <w:color w:val="000000"/>
          <w:sz w:val="32"/>
          <w:szCs w:val="28"/>
        </w:rPr>
      </w:pPr>
      <w:r>
        <w:rPr>
          <w:rFonts w:hint="eastAsia" w:ascii="宋体" w:hAnsi="宋体" w:eastAsia="宋体"/>
          <w:b/>
          <w:sz w:val="56"/>
          <w:szCs w:val="52"/>
        </w:rPr>
        <w:t>邀请竞标文件</w:t>
      </w:r>
    </w:p>
    <w:p>
      <w:pPr>
        <w:jc w:val="center"/>
        <w:rPr>
          <w:rFonts w:ascii="宋体" w:hAnsi="宋体" w:eastAsia="宋体"/>
          <w:b/>
          <w:color w:val="000000"/>
          <w:sz w:val="28"/>
          <w:szCs w:val="28"/>
        </w:rPr>
      </w:pP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项目编号：ZJGJ-GDS-FWZB03-20230610</w:t>
      </w: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项目类型：</w:t>
      </w:r>
      <w:r>
        <w:rPr>
          <w:rFonts w:hint="eastAsia" w:ascii="宋体" w:hAnsi="宋体" w:eastAsia="宋体"/>
          <w:b/>
          <w:sz w:val="40"/>
          <w:szCs w:val="32"/>
        </w:rPr>
        <w:t>服务</w:t>
      </w:r>
      <w:r>
        <w:rPr>
          <w:rFonts w:hint="eastAsia" w:ascii="宋体" w:hAnsi="宋体" w:eastAsia="宋体"/>
          <w:b/>
          <w:sz w:val="40"/>
          <w:szCs w:val="32"/>
          <w:lang w:val="zh-CN"/>
        </w:rPr>
        <w:t>类</w:t>
      </w:r>
    </w:p>
    <w:p>
      <w:pPr>
        <w:pStyle w:val="11"/>
        <w:jc w:val="center"/>
        <w:rPr>
          <w:rFonts w:ascii="宋体" w:hAnsi="宋体"/>
          <w:b/>
          <w:color w:val="000000"/>
          <w:sz w:val="28"/>
          <w:szCs w:val="28"/>
        </w:rPr>
      </w:pPr>
      <w:r>
        <w:rPr>
          <w:rFonts w:ascii="宋体" w:hAnsi="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ascii="宋体" w:hAnsi="宋体" w:eastAsia="宋体"/>
          <w:b/>
          <w:sz w:val="32"/>
        </w:rPr>
      </w:pPr>
      <w:r>
        <w:rPr>
          <w:rFonts w:hint="eastAsia" w:ascii="宋体" w:hAnsi="宋体" w:eastAsia="宋体"/>
          <w:b/>
          <w:sz w:val="32"/>
        </w:rPr>
        <w:t>采  购  人：深圳市公安局龙华分局</w:t>
      </w:r>
    </w:p>
    <w:p>
      <w:pPr>
        <w:spacing w:before="100" w:line="600" w:lineRule="exact"/>
        <w:ind w:firstLine="707" w:firstLineChars="220"/>
        <w:jc w:val="left"/>
        <w:rPr>
          <w:rFonts w:ascii="宋体" w:hAnsi="宋体" w:eastAsia="宋体"/>
          <w:b/>
          <w:sz w:val="32"/>
        </w:rPr>
      </w:pPr>
      <w:r>
        <w:rPr>
          <w:rFonts w:hint="eastAsia" w:ascii="宋体" w:hAnsi="宋体" w:eastAsia="宋体"/>
          <w:b/>
          <w:sz w:val="32"/>
        </w:rPr>
        <w:t>采购代理机构：中吉国际项目管理有限公司</w:t>
      </w:r>
    </w:p>
    <w:p>
      <w:pPr>
        <w:spacing w:before="100" w:line="600" w:lineRule="exact"/>
        <w:jc w:val="center"/>
        <w:rPr>
          <w:rFonts w:ascii="宋体" w:hAnsi="宋体" w:eastAsia="宋体"/>
          <w:b/>
          <w:sz w:val="32"/>
        </w:rPr>
      </w:pPr>
      <w:r>
        <w:rPr>
          <w:rFonts w:hint="eastAsia" w:ascii="宋体" w:hAnsi="宋体" w:eastAsia="宋体"/>
          <w:b/>
          <w:sz w:val="32"/>
        </w:rPr>
        <w:t>二零二三年</w:t>
      </w:r>
      <w:r>
        <w:rPr>
          <w:rFonts w:hint="eastAsia" w:ascii="宋体" w:hAnsi="宋体" w:eastAsia="宋体"/>
          <w:b/>
          <w:sz w:val="32"/>
          <w:lang w:val="en-US" w:eastAsia="zh-CN"/>
        </w:rPr>
        <w:t>七</w:t>
      </w:r>
      <w:r>
        <w:rPr>
          <w:rFonts w:hint="eastAsia" w:ascii="宋体" w:hAnsi="宋体" w:eastAsia="宋体"/>
          <w:b/>
          <w:sz w:val="32"/>
        </w:rPr>
        <w:t>月</w:t>
      </w:r>
    </w:p>
    <w:p>
      <w:pPr>
        <w:widowControl/>
        <w:jc w:val="left"/>
      </w:pPr>
      <w:r>
        <w:br w:type="page"/>
      </w:r>
    </w:p>
    <w:p>
      <w:pPr>
        <w:pStyle w:val="3"/>
        <w:rPr>
          <w:rFonts w:ascii="宋体" w:hAnsi="宋体"/>
          <w:sz w:val="44"/>
          <w:szCs w:val="32"/>
        </w:rPr>
      </w:pPr>
      <w:bookmarkStart w:id="0" w:name="_Toc68769459"/>
      <w:bookmarkStart w:id="1" w:name="_Toc27860"/>
      <w:bookmarkStart w:id="2" w:name="_Toc20792"/>
      <w:bookmarkStart w:id="3" w:name="_Toc55308008"/>
      <w:bookmarkStart w:id="4" w:name="_Toc64586398"/>
      <w:bookmarkStart w:id="5" w:name="_Toc68772394"/>
      <w:bookmarkStart w:id="6" w:name="_Toc18504"/>
      <w:bookmarkStart w:id="7" w:name="_Toc67411728"/>
      <w:bookmarkStart w:id="8" w:name="_Toc66183292"/>
      <w:bookmarkStart w:id="9" w:name="_Toc10039"/>
      <w:r>
        <w:rPr>
          <w:rFonts w:hint="eastAsia" w:ascii="宋体" w:hAnsi="宋体"/>
          <w:sz w:val="44"/>
          <w:szCs w:val="32"/>
        </w:rPr>
        <w:t>目 录</w:t>
      </w:r>
      <w:bookmarkEnd w:id="0"/>
      <w:bookmarkEnd w:id="1"/>
      <w:bookmarkEnd w:id="2"/>
      <w:bookmarkEnd w:id="3"/>
      <w:bookmarkEnd w:id="4"/>
      <w:bookmarkEnd w:id="5"/>
      <w:bookmarkEnd w:id="6"/>
      <w:bookmarkEnd w:id="7"/>
      <w:bookmarkEnd w:id="8"/>
      <w:bookmarkEnd w:id="9"/>
    </w:p>
    <w:p>
      <w:pPr>
        <w:pStyle w:val="23"/>
        <w:tabs>
          <w:tab w:val="right" w:leader="dot" w:pos="9000"/>
        </w:tabs>
        <w:spacing w:line="280" w:lineRule="exact"/>
        <w:rPr>
          <w:rFonts w:ascii="宋体" w:hAnsi="宋体" w:eastAsia="宋体" w:cs="宋体"/>
        </w:rPr>
      </w:pP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TOC \o "1-3" \h \z \u </w:instrText>
      </w:r>
      <w:r>
        <w:rPr>
          <w:rFonts w:asciiTheme="minorEastAsia" w:hAnsiTheme="minorEastAsia" w:eastAsiaTheme="minorEastAsia"/>
          <w:sz w:val="32"/>
          <w:szCs w:val="32"/>
        </w:rPr>
        <w:fldChar w:fldCharType="separate"/>
      </w:r>
      <w:r>
        <w:fldChar w:fldCharType="begin"/>
      </w:r>
      <w:r>
        <w:instrText xml:space="preserve"> HYPERLINK \l "_Toc27860" </w:instrText>
      </w:r>
      <w:r>
        <w:fldChar w:fldCharType="separate"/>
      </w:r>
      <w:r>
        <w:rPr>
          <w:rFonts w:hint="eastAsia" w:ascii="宋体" w:hAnsi="宋体" w:eastAsia="宋体" w:cs="宋体"/>
          <w:szCs w:val="32"/>
        </w:rPr>
        <w:t>目 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_Toc27860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pPr>
        <w:pStyle w:val="23"/>
        <w:tabs>
          <w:tab w:val="right" w:leader="dot" w:pos="9000"/>
        </w:tabs>
        <w:spacing w:line="280" w:lineRule="exact"/>
        <w:rPr>
          <w:rFonts w:ascii="宋体" w:hAnsi="宋体" w:eastAsia="宋体" w:cs="宋体"/>
        </w:rPr>
      </w:pPr>
      <w:r>
        <w:fldChar w:fldCharType="begin"/>
      </w:r>
      <w:r>
        <w:instrText xml:space="preserve"> HYPERLINK \l "_Toc13463" </w:instrText>
      </w:r>
      <w:r>
        <w:fldChar w:fldCharType="separate"/>
      </w:r>
      <w:r>
        <w:rPr>
          <w:rFonts w:hint="eastAsia" w:ascii="宋体" w:hAnsi="宋体" w:eastAsia="宋体" w:cs="宋体"/>
          <w:szCs w:val="32"/>
        </w:rPr>
        <w:t>第一章  邀请竞标公告</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_Toc13463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"_Toc29791" </w:instrText>
      </w:r>
      <w:r>
        <w:fldChar w:fldCharType="separate"/>
      </w:r>
      <w:r>
        <w:rPr>
          <w:rFonts w:hint="eastAsia" w:ascii="宋体" w:hAnsi="宋体" w:eastAsia="宋体" w:cs="宋体"/>
          <w:szCs w:val="28"/>
        </w:rPr>
        <w:t>一、项目基本情况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_Toc29791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"_Toc2243" </w:instrText>
      </w:r>
      <w:r>
        <w:fldChar w:fldCharType="separate"/>
      </w:r>
      <w:r>
        <w:rPr>
          <w:rFonts w:hint="eastAsia" w:ascii="宋体" w:hAnsi="宋体" w:eastAsia="宋体" w:cs="宋体"/>
          <w:szCs w:val="28"/>
        </w:rPr>
        <w:t>二、供应商资格及要求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_Toc2243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"_Toc17811" </w:instrText>
      </w:r>
      <w:r>
        <w:fldChar w:fldCharType="separate"/>
      </w:r>
      <w:r>
        <w:rPr>
          <w:rFonts w:hint="eastAsia" w:ascii="宋体" w:hAnsi="宋体" w:eastAsia="宋体" w:cs="宋体"/>
          <w:szCs w:val="28"/>
        </w:rPr>
        <w:t>三、供应商竞标程序及时间安排</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_Toc17811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"_Toc410" </w:instrText>
      </w:r>
      <w:r>
        <w:fldChar w:fldCharType="separate"/>
      </w:r>
      <w:r>
        <w:rPr>
          <w:rFonts w:hint="eastAsia" w:ascii="宋体" w:hAnsi="宋体" w:eastAsia="宋体" w:cs="宋体"/>
          <w:szCs w:val="28"/>
        </w:rPr>
        <w:t>四、竞标文件主要内容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_Toc410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"_Toc5327" </w:instrText>
      </w:r>
      <w:r>
        <w:fldChar w:fldCharType="separate"/>
      </w:r>
      <w:r>
        <w:rPr>
          <w:rFonts w:hint="eastAsia" w:ascii="宋体" w:hAnsi="宋体" w:eastAsia="宋体" w:cs="宋体"/>
          <w:szCs w:val="28"/>
        </w:rPr>
        <w:t>五、竞标成交原则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_Toc5327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"_Toc26951" </w:instrText>
      </w:r>
      <w:r>
        <w:fldChar w:fldCharType="separate"/>
      </w:r>
      <w:r>
        <w:rPr>
          <w:rFonts w:hint="eastAsia" w:ascii="宋体" w:hAnsi="宋体" w:eastAsia="宋体" w:cs="宋体"/>
          <w:szCs w:val="28"/>
        </w:rPr>
        <w:t>六、供应商实质性响应标准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_Toc26951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"_Toc21961" </w:instrText>
      </w:r>
      <w:r>
        <w:fldChar w:fldCharType="separate"/>
      </w:r>
      <w:r>
        <w:rPr>
          <w:rFonts w:hint="eastAsia" w:ascii="宋体" w:hAnsi="宋体" w:eastAsia="宋体" w:cs="宋体"/>
          <w:szCs w:val="28"/>
        </w:rPr>
        <w:t>七、竞标争议的解决</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_Toc21961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"_Toc22003" </w:instrText>
      </w:r>
      <w:r>
        <w:fldChar w:fldCharType="separate"/>
      </w:r>
      <w:r>
        <w:rPr>
          <w:rFonts w:hint="eastAsia" w:ascii="宋体" w:hAnsi="宋体" w:eastAsia="宋体" w:cs="宋体"/>
          <w:szCs w:val="28"/>
        </w:rPr>
        <w:t>八、竞标有关情况处理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_Toc22003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"_Toc14864" </w:instrText>
      </w:r>
      <w:r>
        <w:fldChar w:fldCharType="separate"/>
      </w:r>
      <w:r>
        <w:rPr>
          <w:rFonts w:hint="eastAsia" w:ascii="宋体" w:hAnsi="宋体" w:eastAsia="宋体" w:cs="宋体"/>
          <w:szCs w:val="28"/>
        </w:rPr>
        <w:t>九、交纳投标保证金</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_Toc14864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"_Toc32473" </w:instrText>
      </w:r>
      <w:r>
        <w:fldChar w:fldCharType="separate"/>
      </w:r>
      <w:r>
        <w:rPr>
          <w:rFonts w:hint="eastAsia" w:ascii="宋体" w:hAnsi="宋体" w:eastAsia="宋体" w:cs="宋体"/>
          <w:szCs w:val="28"/>
        </w:rPr>
        <w:t>十、</w:t>
      </w:r>
      <w:r>
        <w:rPr>
          <w:rFonts w:hint="eastAsia" w:ascii="宋体" w:hAnsi="宋体" w:eastAsia="宋体" w:cs="宋体"/>
          <w:szCs w:val="24"/>
        </w:rPr>
        <w:t>招标代理服务费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_Toc32473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"_Toc16465" </w:instrText>
      </w:r>
      <w:r>
        <w:fldChar w:fldCharType="separate"/>
      </w:r>
      <w:r>
        <w:rPr>
          <w:rFonts w:hint="eastAsia" w:ascii="宋体" w:hAnsi="宋体" w:eastAsia="宋体" w:cs="宋体"/>
          <w:szCs w:val="28"/>
        </w:rPr>
        <w:t>十一、重要提示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_Toc16465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"_Toc25311" </w:instrText>
      </w:r>
      <w:r>
        <w:fldChar w:fldCharType="separate"/>
      </w:r>
      <w:r>
        <w:rPr>
          <w:rFonts w:hint="eastAsia" w:ascii="宋体" w:hAnsi="宋体" w:eastAsia="宋体" w:cs="宋体"/>
          <w:szCs w:val="28"/>
        </w:rPr>
        <w:t>十二、联系方式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_Toc25311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pPr>
        <w:pStyle w:val="23"/>
        <w:tabs>
          <w:tab w:val="right" w:leader="dot" w:pos="9000"/>
        </w:tabs>
        <w:spacing w:line="280" w:lineRule="exact"/>
        <w:rPr>
          <w:rFonts w:ascii="宋体" w:hAnsi="宋体" w:eastAsia="宋体" w:cs="宋体"/>
        </w:rPr>
      </w:pPr>
      <w:r>
        <w:fldChar w:fldCharType="begin"/>
      </w:r>
      <w:r>
        <w:instrText xml:space="preserve"> HYPERLINK \l "_Toc17152" </w:instrText>
      </w:r>
      <w:r>
        <w:fldChar w:fldCharType="separate"/>
      </w:r>
      <w:r>
        <w:rPr>
          <w:rFonts w:hint="eastAsia" w:ascii="宋体" w:hAnsi="宋体" w:eastAsia="宋体" w:cs="宋体"/>
          <w:szCs w:val="32"/>
        </w:rPr>
        <w:t>第二章  竞标采购需求明细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_Toc17152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"_Toc5424" </w:instrText>
      </w:r>
      <w:r>
        <w:fldChar w:fldCharType="separate"/>
      </w:r>
      <w:r>
        <w:rPr>
          <w:rFonts w:hint="eastAsia" w:ascii="宋体" w:hAnsi="宋体" w:eastAsia="宋体" w:cs="宋体"/>
        </w:rPr>
        <w:t>一、项目清单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_Toc5424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"_Toc10520" </w:instrText>
      </w:r>
      <w:r>
        <w:fldChar w:fldCharType="separate"/>
      </w:r>
      <w:r>
        <w:rPr>
          <w:rFonts w:hint="eastAsia" w:ascii="宋体" w:hAnsi="宋体" w:eastAsia="宋体" w:cs="宋体"/>
        </w:rPr>
        <w:t>二、服务要求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_Toc10520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"_Toc26471" </w:instrText>
      </w:r>
      <w:r>
        <w:fldChar w:fldCharType="separate"/>
      </w:r>
      <w:r>
        <w:rPr>
          <w:rFonts w:hint="eastAsia" w:ascii="宋体" w:hAnsi="宋体" w:eastAsia="宋体" w:cs="宋体"/>
        </w:rPr>
        <w:t>三、商务要求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_Toc26471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pPr>
        <w:pStyle w:val="23"/>
        <w:tabs>
          <w:tab w:val="right" w:leader="dot" w:pos="9000"/>
        </w:tabs>
        <w:spacing w:line="280" w:lineRule="exact"/>
        <w:rPr>
          <w:rFonts w:ascii="宋体" w:hAnsi="宋体" w:eastAsia="宋体" w:cs="宋体"/>
        </w:rPr>
      </w:pPr>
      <w:r>
        <w:fldChar w:fldCharType="begin"/>
      </w:r>
      <w:r>
        <w:instrText xml:space="preserve"> HYPERLINK \l "_Toc12815" </w:instrText>
      </w:r>
      <w:r>
        <w:fldChar w:fldCharType="separate"/>
      </w:r>
      <w:r>
        <w:rPr>
          <w:rFonts w:hint="eastAsia" w:ascii="宋体" w:hAnsi="宋体" w:eastAsia="宋体" w:cs="宋体"/>
          <w:szCs w:val="32"/>
        </w:rPr>
        <w:t>第三章  竞标应答文件（格式）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_Toc12815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"_Toc9803" </w:instrText>
      </w:r>
      <w:r>
        <w:fldChar w:fldCharType="separate"/>
      </w:r>
      <w:r>
        <w:rPr>
          <w:rFonts w:hint="eastAsia" w:ascii="宋体" w:hAnsi="宋体" w:eastAsia="宋体" w:cs="宋体"/>
          <w:bCs/>
        </w:rPr>
        <w:t>一、资格性、符合性审查表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_Toc9803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"_Toc24111" </w:instrText>
      </w:r>
      <w:r>
        <w:fldChar w:fldCharType="separate"/>
      </w:r>
      <w:r>
        <w:rPr>
          <w:rFonts w:hint="eastAsia" w:ascii="宋体" w:hAnsi="宋体" w:eastAsia="宋体" w:cs="宋体"/>
          <w:bCs/>
        </w:rPr>
        <w:t>二、承诺函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_Toc24111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"_Toc1322" </w:instrText>
      </w:r>
      <w:r>
        <w:fldChar w:fldCharType="separate"/>
      </w:r>
      <w:r>
        <w:rPr>
          <w:rFonts w:hint="eastAsia" w:ascii="宋体" w:hAnsi="宋体" w:eastAsia="宋体" w:cs="宋体"/>
          <w:bCs/>
        </w:rPr>
        <w:t>三、法定代表人资格证明书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_Toc1322 \h </w:instrText>
      </w:r>
      <w:r>
        <w:rPr>
          <w:rFonts w:hint="eastAsia" w:ascii="宋体" w:hAnsi="宋体" w:eastAsia="宋体" w:cs="宋体"/>
        </w:rPr>
        <w:fldChar w:fldCharType="separate"/>
      </w:r>
      <w:r>
        <w:rPr>
          <w:rFonts w:hint="eastAsia" w:ascii="宋体" w:hAnsi="宋体" w:eastAsia="宋体" w:cs="宋体"/>
        </w:rPr>
        <w:t>17</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"_Toc16115" </w:instrText>
      </w:r>
      <w:r>
        <w:fldChar w:fldCharType="separate"/>
      </w:r>
      <w:r>
        <w:rPr>
          <w:rFonts w:hint="eastAsia" w:ascii="宋体" w:hAnsi="宋体" w:eastAsia="宋体" w:cs="宋体"/>
          <w:bCs/>
        </w:rPr>
        <w:t>四、授权委托代理人联系方式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_Toc16115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"_Toc30040" </w:instrText>
      </w:r>
      <w:r>
        <w:fldChar w:fldCharType="separate"/>
      </w:r>
      <w:r>
        <w:rPr>
          <w:rFonts w:hint="eastAsia" w:ascii="宋体" w:hAnsi="宋体" w:eastAsia="宋体" w:cs="宋体"/>
          <w:bCs/>
        </w:rPr>
        <w:t>五、商务条款偏离表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_Toc30040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"_Toc5918" </w:instrText>
      </w:r>
      <w:r>
        <w:fldChar w:fldCharType="separate"/>
      </w:r>
      <w:r>
        <w:rPr>
          <w:rFonts w:hint="eastAsia" w:ascii="宋体" w:hAnsi="宋体" w:eastAsia="宋体" w:cs="宋体"/>
          <w:bCs/>
        </w:rPr>
        <w:t>六、服务条款偏离表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_Toc5918 \h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"_Toc21085" </w:instrText>
      </w:r>
      <w:r>
        <w:fldChar w:fldCharType="separate"/>
      </w:r>
      <w:r>
        <w:rPr>
          <w:rFonts w:hint="eastAsia" w:ascii="宋体" w:hAnsi="宋体" w:eastAsia="宋体" w:cs="宋体"/>
          <w:bCs/>
        </w:rPr>
        <w:t>七、投标报价表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_Toc21085 \h </w:instrText>
      </w:r>
      <w:r>
        <w:rPr>
          <w:rFonts w:hint="eastAsia" w:ascii="宋体" w:hAnsi="宋体" w:eastAsia="宋体" w:cs="宋体"/>
        </w:rPr>
        <w:fldChar w:fldCharType="separate"/>
      </w:r>
      <w:r>
        <w:rPr>
          <w:rFonts w:hint="eastAsia" w:ascii="宋体" w:hAnsi="宋体" w:eastAsia="宋体" w:cs="宋体"/>
        </w:rPr>
        <w:t>24</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"_Toc12445" </w:instrText>
      </w:r>
      <w:r>
        <w:fldChar w:fldCharType="separate"/>
      </w:r>
      <w:r>
        <w:rPr>
          <w:rFonts w:hint="eastAsia" w:ascii="宋体" w:hAnsi="宋体" w:eastAsia="宋体" w:cs="宋体"/>
          <w:bCs/>
        </w:rPr>
        <w:t>（一）开标一览表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_Toc12445 \h </w:instrText>
      </w:r>
      <w:r>
        <w:rPr>
          <w:rFonts w:hint="eastAsia" w:ascii="宋体" w:hAnsi="宋体" w:eastAsia="宋体" w:cs="宋体"/>
        </w:rPr>
        <w:fldChar w:fldCharType="separate"/>
      </w:r>
      <w:r>
        <w:rPr>
          <w:rFonts w:hint="eastAsia" w:ascii="宋体" w:hAnsi="宋体" w:eastAsia="宋体" w:cs="宋体"/>
        </w:rPr>
        <w:t>24</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rPr>
          <w:rFonts w:ascii="宋体" w:hAnsi="宋体" w:eastAsia="宋体" w:cs="宋体"/>
        </w:rPr>
      </w:pPr>
      <w:r>
        <w:fldChar w:fldCharType="begin"/>
      </w:r>
      <w:r>
        <w:instrText xml:space="preserve"> HYPERLINK \l "_Toc20693" </w:instrText>
      </w:r>
      <w:r>
        <w:fldChar w:fldCharType="separate"/>
      </w:r>
      <w:r>
        <w:rPr>
          <w:rFonts w:hint="eastAsia" w:ascii="宋体" w:hAnsi="宋体" w:eastAsia="宋体" w:cs="宋体"/>
        </w:rPr>
        <w:t>（二）</w:t>
      </w:r>
      <w:r>
        <w:rPr>
          <w:rFonts w:hint="eastAsia" w:ascii="宋体" w:hAnsi="宋体" w:eastAsia="宋体" w:cs="宋体"/>
          <w:bCs/>
        </w:rPr>
        <w:t>分项报价表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_Toc20693 \h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r>
        <w:rPr>
          <w:rFonts w:hint="eastAsia" w:ascii="宋体" w:hAnsi="宋体" w:eastAsia="宋体" w:cs="宋体"/>
        </w:rPr>
        <w:fldChar w:fldCharType="end"/>
      </w:r>
    </w:p>
    <w:p>
      <w:pPr>
        <w:pStyle w:val="25"/>
        <w:tabs>
          <w:tab w:val="right" w:leader="dot" w:pos="9000"/>
        </w:tabs>
        <w:spacing w:line="280" w:lineRule="exact"/>
      </w:pPr>
      <w:r>
        <w:fldChar w:fldCharType="begin"/>
      </w:r>
      <w:r>
        <w:instrText xml:space="preserve"> HYPERLINK \l "_Toc15994" </w:instrText>
      </w:r>
      <w:r>
        <w:fldChar w:fldCharType="separate"/>
      </w:r>
      <w:r>
        <w:rPr>
          <w:rFonts w:hint="eastAsia" w:ascii="宋体" w:hAnsi="宋体" w:eastAsia="宋体" w:cs="宋体"/>
          <w:bCs/>
        </w:rPr>
        <w:t>八、其他响应资料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_Toc15994 \h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r>
        <w:rPr>
          <w:rFonts w:hint="eastAsia" w:ascii="宋体" w:hAnsi="宋体" w:eastAsia="宋体" w:cs="宋体"/>
        </w:rPr>
        <w:fldChar w:fldCharType="end"/>
      </w:r>
    </w:p>
    <w:p>
      <w:pPr>
        <w:spacing w:line="360" w:lineRule="auto"/>
        <w:rPr>
          <w:rFonts w:ascii="宋体" w:hAnsi="宋体" w:eastAsia="宋体"/>
          <w:sz w:val="28"/>
          <w:szCs w:val="28"/>
        </w:rPr>
      </w:pPr>
      <w:r>
        <w:rPr>
          <w:rFonts w:asciiTheme="minorEastAsia" w:hAnsiTheme="minorEastAsia" w:eastAsiaTheme="minorEastAsia"/>
          <w:szCs w:val="32"/>
        </w:rPr>
        <w:fldChar w:fldCharType="end"/>
      </w:r>
    </w:p>
    <w:p>
      <w:pPr>
        <w:widowControl/>
        <w:jc w:val="left"/>
        <w:rPr>
          <w:rFonts w:ascii="宋体" w:hAnsi="宋体" w:eastAsia="宋体"/>
          <w:sz w:val="28"/>
          <w:szCs w:val="28"/>
        </w:rPr>
      </w:pPr>
      <w:r>
        <w:rPr>
          <w:rFonts w:ascii="宋体" w:hAnsi="宋体" w:eastAsia="宋体"/>
          <w:sz w:val="28"/>
          <w:szCs w:val="28"/>
        </w:rPr>
        <w:br w:type="page"/>
      </w:r>
    </w:p>
    <w:p>
      <w:pPr>
        <w:pStyle w:val="3"/>
        <w:rPr>
          <w:rFonts w:ascii="宋体" w:hAnsi="宋体"/>
          <w:sz w:val="44"/>
          <w:szCs w:val="32"/>
        </w:rPr>
      </w:pPr>
      <w:bookmarkStart w:id="10" w:name="_Toc28158"/>
      <w:bookmarkStart w:id="11" w:name="_Toc67411729"/>
      <w:bookmarkStart w:id="12" w:name="_Toc15982"/>
      <w:bookmarkStart w:id="13" w:name="_Toc443"/>
      <w:bookmarkStart w:id="14" w:name="_Toc68769460"/>
      <w:bookmarkStart w:id="15" w:name="_Toc13463"/>
      <w:r>
        <w:rPr>
          <w:rFonts w:hint="eastAsia" w:ascii="宋体" w:hAnsi="宋体"/>
          <w:sz w:val="44"/>
          <w:szCs w:val="32"/>
        </w:rPr>
        <w:t xml:space="preserve">第一章  </w:t>
      </w:r>
      <w:bookmarkEnd w:id="10"/>
      <w:bookmarkEnd w:id="11"/>
      <w:bookmarkEnd w:id="12"/>
      <w:bookmarkEnd w:id="13"/>
      <w:bookmarkEnd w:id="14"/>
      <w:r>
        <w:rPr>
          <w:rFonts w:hint="eastAsia" w:ascii="宋体" w:hAnsi="宋体"/>
          <w:sz w:val="44"/>
          <w:szCs w:val="32"/>
        </w:rPr>
        <w:t>邀请竞标公告</w:t>
      </w:r>
      <w:bookmarkEnd w:id="15"/>
    </w:p>
    <w:p>
      <w:pPr>
        <w:spacing w:line="360" w:lineRule="auto"/>
        <w:ind w:firstLine="480" w:firstLineChars="200"/>
        <w:rPr>
          <w:rFonts w:ascii="宋体" w:hAnsi="宋体" w:eastAsia="宋体" w:cs="宋体"/>
          <w:sz w:val="24"/>
          <w:szCs w:val="24"/>
        </w:rPr>
      </w:pPr>
      <w:bookmarkStart w:id="16" w:name="_Toc17558"/>
      <w:bookmarkStart w:id="17" w:name="_Toc475606993"/>
      <w:r>
        <w:rPr>
          <w:rFonts w:hint="eastAsia" w:ascii="宋体" w:hAnsi="宋体" w:eastAsia="宋体" w:cs="宋体"/>
          <w:sz w:val="24"/>
          <w:szCs w:val="24"/>
        </w:rPr>
        <w:t>我司受深圳市公安局龙华分局委托，根据深圳市公安局关于印发《深圳市公安局政府采购管理办法》及其实施细则的通知（深公（警保）字〔2022〕253号）和参照其他法律法规的有关规定，就“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lang w:val="zh-CN"/>
        </w:rPr>
        <w:t>深圳市公安局龙华分局2023年网络安全服务项目</w:t>
      </w:r>
      <w:r>
        <w:rPr>
          <w:rFonts w:hint="eastAsia" w:ascii="宋体" w:hAnsi="宋体" w:eastAsia="宋体" w:cs="宋体"/>
          <w:sz w:val="24"/>
          <w:szCs w:val="24"/>
        </w:rPr>
        <w:t>”通过邀请竞标方式选择供应商。</w:t>
      </w:r>
    </w:p>
    <w:p>
      <w:pPr>
        <w:pStyle w:val="4"/>
        <w:tabs>
          <w:tab w:val="left" w:pos="1800"/>
        </w:tabs>
        <w:spacing w:before="120" w:after="120" w:line="360" w:lineRule="auto"/>
        <w:rPr>
          <w:rFonts w:cs="仿宋" w:asciiTheme="minorEastAsia" w:hAnsiTheme="minorEastAsia" w:eastAsiaTheme="minorEastAsia"/>
          <w:sz w:val="24"/>
          <w:szCs w:val="28"/>
        </w:rPr>
      </w:pPr>
      <w:bookmarkStart w:id="18" w:name="_Toc15005"/>
      <w:bookmarkStart w:id="19" w:name="_Toc67411730"/>
      <w:bookmarkStart w:id="20" w:name="_Toc29791"/>
      <w:bookmarkStart w:id="21" w:name="_Toc68769461"/>
      <w:bookmarkStart w:id="22" w:name="_Toc10266"/>
      <w:r>
        <w:rPr>
          <w:rFonts w:hint="eastAsia" w:cs="仿宋" w:asciiTheme="minorEastAsia" w:hAnsiTheme="minorEastAsia" w:eastAsiaTheme="minorEastAsia"/>
          <w:sz w:val="24"/>
          <w:szCs w:val="28"/>
        </w:rPr>
        <w:t>一、项目基本情况</w:t>
      </w:r>
      <w:bookmarkEnd w:id="18"/>
      <w:bookmarkEnd w:id="19"/>
      <w:bookmarkEnd w:id="20"/>
      <w:bookmarkEnd w:id="21"/>
      <w:bookmarkEnd w:id="22"/>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1、项目编号：ZJGJ-GDS-FWZB03-20230610</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2、项目名称：深圳市公安局龙华分局2023年网络安全服务项目</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3、采购标的：</w:t>
      </w:r>
    </w:p>
    <w:tbl>
      <w:tblPr>
        <w:tblStyle w:val="30"/>
        <w:tblW w:w="47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2319"/>
        <w:gridCol w:w="878"/>
        <w:gridCol w:w="904"/>
        <w:gridCol w:w="1445"/>
        <w:gridCol w:w="1416"/>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329"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506"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521" w:type="pct"/>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单位</w:t>
            </w:r>
          </w:p>
        </w:tc>
        <w:tc>
          <w:tcPr>
            <w:tcW w:w="830" w:type="pct"/>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预算金额（元）</w:t>
            </w:r>
          </w:p>
        </w:tc>
        <w:tc>
          <w:tcPr>
            <w:tcW w:w="781" w:type="pct"/>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最高限价（元）</w:t>
            </w:r>
          </w:p>
        </w:tc>
        <w:tc>
          <w:tcPr>
            <w:tcW w:w="58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w:t>
            </w:r>
          </w:p>
        </w:tc>
        <w:tc>
          <w:tcPr>
            <w:tcW w:w="1329" w:type="pct"/>
            <w:vAlign w:val="center"/>
          </w:tcPr>
          <w:p>
            <w:pPr>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深圳市公安局龙华分局2023年网络安全服务项目</w:t>
            </w:r>
          </w:p>
        </w:tc>
        <w:tc>
          <w:tcPr>
            <w:tcW w:w="506"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521" w:type="pct"/>
            <w:vAlign w:val="center"/>
          </w:tcPr>
          <w:p>
            <w:pPr>
              <w:widowControl/>
              <w:spacing w:line="360" w:lineRule="auto"/>
              <w:jc w:val="center"/>
              <w:rPr>
                <w:rFonts w:cs="宋体" w:asciiTheme="minorEastAsia" w:hAnsiTheme="minorEastAsia" w:eastAsiaTheme="minorEastAsia"/>
                <w:color w:val="000000"/>
                <w:kern w:val="0"/>
                <w:sz w:val="24"/>
                <w:szCs w:val="24"/>
                <w:highlight w:val="none"/>
              </w:rPr>
            </w:pPr>
            <w:r>
              <w:rPr>
                <w:rFonts w:hint="eastAsia" w:cs="宋体" w:asciiTheme="minorEastAsia" w:hAnsiTheme="minorEastAsia" w:eastAsiaTheme="minorEastAsia"/>
                <w:color w:val="000000"/>
                <w:kern w:val="0"/>
                <w:sz w:val="24"/>
                <w:szCs w:val="24"/>
                <w:highlight w:val="none"/>
              </w:rPr>
              <w:t>项</w:t>
            </w:r>
          </w:p>
        </w:tc>
        <w:tc>
          <w:tcPr>
            <w:tcW w:w="830" w:type="pct"/>
            <w:vAlign w:val="center"/>
          </w:tcPr>
          <w:p>
            <w:pPr>
              <w:spacing w:line="360" w:lineRule="auto"/>
              <w:jc w:val="center"/>
              <w:rPr>
                <w:rFonts w:asciiTheme="minorEastAsia" w:hAnsiTheme="minorEastAsia" w:eastAsiaTheme="minorEastAsia"/>
                <w:sz w:val="24"/>
                <w:szCs w:val="24"/>
                <w:highlight w:val="none"/>
              </w:rPr>
            </w:pPr>
            <w:r>
              <w:rPr>
                <w:rFonts w:hint="eastAsia" w:ascii="宋体" w:hAnsi="宋体" w:cs="宋体"/>
                <w:sz w:val="24"/>
                <w:highlight w:val="none"/>
              </w:rPr>
              <w:t>500,000.00</w:t>
            </w:r>
          </w:p>
        </w:tc>
        <w:tc>
          <w:tcPr>
            <w:tcW w:w="781" w:type="pct"/>
            <w:vAlign w:val="center"/>
          </w:tcPr>
          <w:p>
            <w:pPr>
              <w:spacing w:line="360" w:lineRule="auto"/>
              <w:jc w:val="center"/>
              <w:rPr>
                <w:rFonts w:ascii="宋体" w:hAnsi="宋体" w:cs="宋体"/>
                <w:sz w:val="24"/>
                <w:highlight w:val="none"/>
              </w:rPr>
            </w:pPr>
            <w:r>
              <w:rPr>
                <w:rFonts w:hint="eastAsia" w:ascii="宋体" w:hAnsi="宋体" w:cs="宋体"/>
                <w:sz w:val="24"/>
                <w:highlight w:val="none"/>
              </w:rPr>
              <w:t>500,000.00</w:t>
            </w:r>
          </w:p>
        </w:tc>
        <w:tc>
          <w:tcPr>
            <w:tcW w:w="580"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详见竞标文件</w:t>
            </w:r>
          </w:p>
        </w:tc>
      </w:tr>
    </w:tbl>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4、服务期、服务要求、商务要求等内容详见竞标采购需求。</w:t>
      </w:r>
    </w:p>
    <w:p>
      <w:pPr>
        <w:pStyle w:val="4"/>
        <w:tabs>
          <w:tab w:val="left" w:pos="1800"/>
        </w:tabs>
        <w:spacing w:before="120" w:after="120" w:line="360" w:lineRule="auto"/>
        <w:rPr>
          <w:rFonts w:cs="仿宋" w:asciiTheme="minorEastAsia" w:hAnsiTheme="minorEastAsia" w:eastAsiaTheme="minorEastAsia"/>
          <w:sz w:val="24"/>
          <w:szCs w:val="28"/>
        </w:rPr>
      </w:pPr>
      <w:bookmarkStart w:id="23" w:name="_Toc68769462"/>
      <w:bookmarkStart w:id="24" w:name="_Toc2243"/>
      <w:bookmarkStart w:id="25" w:name="_Toc11291"/>
      <w:bookmarkStart w:id="26" w:name="_Toc67411731"/>
      <w:bookmarkStart w:id="27" w:name="_Toc12042"/>
      <w:r>
        <w:rPr>
          <w:rFonts w:hint="eastAsia" w:cs="仿宋" w:asciiTheme="minorEastAsia" w:hAnsiTheme="minorEastAsia" w:eastAsiaTheme="minorEastAsia"/>
          <w:sz w:val="24"/>
          <w:szCs w:val="28"/>
        </w:rPr>
        <w:t>二、供应商资格及要求</w:t>
      </w:r>
      <w:bookmarkEnd w:id="23"/>
      <w:bookmarkEnd w:id="24"/>
      <w:bookmarkEnd w:id="25"/>
      <w:bookmarkEnd w:id="26"/>
      <w:bookmarkEnd w:id="27"/>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须为在中华人民共和国境内注册，能够独立承担民事责任的本国供应商，</w:t>
      </w:r>
      <w:r>
        <w:rPr>
          <w:rFonts w:hint="eastAsia" w:ascii="宋体" w:hAnsi="宋体" w:eastAsia="宋体" w:cs="宋体"/>
          <w:b/>
          <w:bCs/>
          <w:sz w:val="24"/>
          <w:szCs w:val="24"/>
        </w:rPr>
        <w:t>且须为采购人推荐的供应商</w:t>
      </w:r>
      <w:r>
        <w:rPr>
          <w:rFonts w:hint="eastAsia" w:ascii="宋体" w:hAnsi="宋体" w:eastAsia="宋体" w:cs="宋体"/>
          <w:sz w:val="24"/>
          <w:szCs w:val="24"/>
        </w:rPr>
        <w:t>（提供合法有效的营业执照扫描件或法人登记证扫描件加盖投标人公章,原件备查）；</w:t>
      </w:r>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投标人近三年内（即从2020年01月开始起算，供应商成立不足三年的可从成立之日起算）无行贿犯罪记录（由供应商在《承诺函》中作出声明）；中国裁判文书网(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w:t>
      </w:r>
      <w:r>
        <w:rPr>
          <w:rFonts w:hint="eastAsia" w:ascii="宋体" w:hAnsi="宋体" w:eastAsia="宋体" w:cs="宋体"/>
          <w:b/>
          <w:bCs/>
          <w:sz w:val="24"/>
          <w:szCs w:val="24"/>
        </w:rPr>
        <w:t>采购</w:t>
      </w:r>
      <w:r>
        <w:rPr>
          <w:rFonts w:hint="eastAsia" w:ascii="宋体" w:hAnsi="宋体" w:eastAsia="宋体" w:cs="宋体"/>
          <w:sz w:val="24"/>
          <w:szCs w:val="24"/>
        </w:rPr>
        <w:t>代理机构开标当日的查询结果为准；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3、未被列入失信被执行人、重大税收违法案件当事人名单、政府采购严重违法失信行为记录名单（由供应商在《承诺函》中作出声明）；</w:t>
      </w:r>
    </w:p>
    <w:p>
      <w:pPr>
        <w:spacing w:line="336" w:lineRule="auto"/>
        <w:ind w:firstLine="482" w:firstLineChars="200"/>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4、依据《中华人民共和国政府采购法实施条例》第十八条规定，单位负责人为同一人或者存在直接控股、管理关系的不同供应商，不得参加同一合同项下的政府采购活动（由供应商在《承诺函》中作出声明）；</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w:t>
      </w:r>
      <w:r>
        <w:rPr>
          <w:rFonts w:hint="eastAsia" w:ascii="宋体" w:hAnsi="宋体" w:eastAsia="宋体" w:cs="宋体"/>
          <w:sz w:val="24"/>
          <w:szCs w:val="24"/>
        </w:rPr>
        <w:t>本项目不接受联合体投标，不允许转包分包（由供应商在《承诺函》中作出声明）。</w:t>
      </w:r>
    </w:p>
    <w:p>
      <w:pPr>
        <w:pStyle w:val="4"/>
        <w:tabs>
          <w:tab w:val="left" w:pos="1800"/>
        </w:tabs>
        <w:spacing w:before="120" w:after="120" w:line="360" w:lineRule="auto"/>
        <w:rPr>
          <w:rFonts w:cs="仿宋" w:asciiTheme="minorEastAsia" w:hAnsiTheme="minorEastAsia" w:eastAsiaTheme="minorEastAsia"/>
          <w:sz w:val="24"/>
          <w:szCs w:val="28"/>
        </w:rPr>
      </w:pPr>
      <w:bookmarkStart w:id="28" w:name="_Toc5510"/>
      <w:bookmarkStart w:id="29" w:name="_Toc68769463"/>
      <w:bookmarkStart w:id="30" w:name="_Toc20742"/>
      <w:bookmarkStart w:id="31" w:name="_Toc17811"/>
      <w:bookmarkStart w:id="32" w:name="_Toc67411732"/>
      <w:r>
        <w:rPr>
          <w:rFonts w:hint="eastAsia" w:cs="仿宋" w:asciiTheme="minorEastAsia" w:hAnsiTheme="minorEastAsia" w:eastAsiaTheme="minorEastAsia"/>
          <w:sz w:val="24"/>
          <w:szCs w:val="28"/>
        </w:rPr>
        <w:t>三、供应商竞标程序及时间安排</w:t>
      </w:r>
      <w:bookmarkEnd w:id="28"/>
      <w:bookmarkEnd w:id="29"/>
      <w:bookmarkEnd w:id="30"/>
      <w:bookmarkEnd w:id="31"/>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1、竞标程序：</w:t>
      </w:r>
    </w:p>
    <w:p>
      <w:pPr>
        <w:spacing w:line="348" w:lineRule="auto"/>
        <w:ind w:firstLine="440" w:firstLineChars="200"/>
        <w:rPr>
          <w:rFonts w:ascii="宋体" w:hAnsi="宋体" w:eastAsia="宋体" w:cs="宋体"/>
          <w:color w:val="C00000"/>
          <w:sz w:val="22"/>
          <w:szCs w:val="24"/>
        </w:rPr>
      </w:pPr>
      <w:r>
        <w:rPr>
          <w:rFonts w:hint="eastAsia" w:ascii="宋体" w:hAnsi="宋体" w:eastAsia="宋体" w:cs="宋体"/>
          <w:color w:val="C00000"/>
          <w:sz w:val="22"/>
          <w:szCs w:val="24"/>
        </w:rPr>
        <w:t>注：</w:t>
      </w:r>
      <w:r>
        <w:rPr>
          <w:rFonts w:ascii="宋体" w:hAnsi="宋体" w:eastAsia="宋体" w:cs="宋体"/>
          <w:color w:val="C00000"/>
          <w:sz w:val="22"/>
          <w:szCs w:val="24"/>
        </w:rPr>
        <w:t>A.供应商须先行注册成为供应商，审核通过后，方可进行</w:t>
      </w:r>
      <w:r>
        <w:rPr>
          <w:rFonts w:hint="eastAsia" w:ascii="宋体" w:hAnsi="宋体" w:eastAsia="宋体" w:cs="宋体"/>
          <w:color w:val="C00000"/>
          <w:sz w:val="22"/>
          <w:szCs w:val="24"/>
        </w:rPr>
        <w:t>竞标</w:t>
      </w:r>
      <w:r>
        <w:rPr>
          <w:rFonts w:ascii="宋体" w:hAnsi="宋体" w:eastAsia="宋体" w:cs="宋体"/>
          <w:color w:val="C00000"/>
          <w:sz w:val="22"/>
          <w:szCs w:val="24"/>
        </w:rPr>
        <w:t>服务</w:t>
      </w:r>
      <w:r>
        <w:rPr>
          <w:rFonts w:hint="eastAsia" w:ascii="宋体" w:hAnsi="宋体" w:eastAsia="宋体" w:cs="宋体"/>
          <w:color w:val="C00000"/>
          <w:sz w:val="22"/>
          <w:szCs w:val="24"/>
        </w:rPr>
        <w:t>。</w:t>
      </w:r>
    </w:p>
    <w:p>
      <w:pPr>
        <w:spacing w:line="348" w:lineRule="auto"/>
        <w:ind w:firstLine="891" w:firstLineChars="405"/>
        <w:rPr>
          <w:rFonts w:ascii="宋体" w:hAnsi="宋体" w:eastAsia="宋体" w:cs="宋体"/>
          <w:color w:val="C00000"/>
          <w:sz w:val="22"/>
          <w:szCs w:val="24"/>
        </w:rPr>
      </w:pPr>
      <w:r>
        <w:rPr>
          <w:rFonts w:ascii="宋体" w:hAnsi="宋体" w:eastAsia="宋体" w:cs="宋体"/>
          <w:color w:val="C00000"/>
          <w:sz w:val="22"/>
          <w:szCs w:val="24"/>
        </w:rPr>
        <w:t>B.应答文件需</w:t>
      </w:r>
      <w:r>
        <w:rPr>
          <w:rFonts w:hint="eastAsia" w:ascii="宋体" w:hAnsi="宋体" w:eastAsia="宋体" w:cs="宋体"/>
          <w:color w:val="C00000"/>
          <w:sz w:val="22"/>
          <w:szCs w:val="24"/>
        </w:rPr>
        <w:t>生成压缩包后缀</w:t>
      </w:r>
      <w:r>
        <w:rPr>
          <w:rFonts w:ascii="宋体" w:hAnsi="宋体" w:eastAsia="宋体" w:cs="宋体"/>
          <w:color w:val="C00000"/>
          <w:sz w:val="22"/>
          <w:szCs w:val="24"/>
        </w:rPr>
        <w:t>为</w:t>
      </w:r>
      <w:r>
        <w:rPr>
          <w:rFonts w:ascii="宋体" w:hAnsi="宋体" w:eastAsia="宋体" w:cs="宋体"/>
          <w:b/>
          <w:color w:val="C00000"/>
          <w:sz w:val="24"/>
          <w:szCs w:val="28"/>
        </w:rPr>
        <w:t>.</w:t>
      </w:r>
      <w:r>
        <w:rPr>
          <w:rFonts w:hint="eastAsia" w:ascii="宋体" w:hAnsi="宋体" w:eastAsia="宋体" w:cs="宋体"/>
          <w:b/>
          <w:color w:val="C00000"/>
          <w:sz w:val="24"/>
          <w:szCs w:val="28"/>
        </w:rPr>
        <w:t>rar</w:t>
      </w:r>
      <w:r>
        <w:rPr>
          <w:rFonts w:ascii="宋体" w:hAnsi="宋体" w:eastAsia="宋体" w:cs="宋体"/>
          <w:color w:val="C00000"/>
          <w:sz w:val="22"/>
          <w:szCs w:val="24"/>
        </w:rPr>
        <w:t>格式</w:t>
      </w:r>
      <w:r>
        <w:rPr>
          <w:rFonts w:hint="eastAsia" w:ascii="宋体" w:hAnsi="宋体" w:eastAsia="宋体" w:cs="宋体"/>
          <w:color w:val="C00000"/>
          <w:sz w:val="22"/>
          <w:szCs w:val="24"/>
        </w:rPr>
        <w:t>的投标文件</w:t>
      </w:r>
      <w:r>
        <w:rPr>
          <w:rFonts w:ascii="宋体" w:hAnsi="宋体" w:eastAsia="宋体" w:cs="宋体"/>
          <w:color w:val="C00000"/>
          <w:sz w:val="22"/>
          <w:szCs w:val="24"/>
        </w:rPr>
        <w:t>。</w:t>
      </w:r>
    </w:p>
    <w:p>
      <w:pPr>
        <w:spacing w:before="156" w:beforeLines="50" w:line="348" w:lineRule="auto"/>
        <w:ind w:firstLine="880" w:firstLineChars="400"/>
        <w:rPr>
          <w:rFonts w:ascii="宋体" w:hAnsi="宋体" w:eastAsia="宋体" w:cs="宋体"/>
          <w:sz w:val="24"/>
          <w:szCs w:val="24"/>
        </w:rPr>
      </w:pPr>
      <w:r>
        <w:rPr>
          <w:rFonts w:hint="eastAsia" w:ascii="宋体" w:hAnsi="宋体" w:eastAsia="宋体" w:cs="宋体"/>
          <w:color w:val="C00000"/>
          <w:sz w:val="22"/>
          <w:szCs w:val="24"/>
        </w:rPr>
        <w:t>C.《供应商参与竞标操作手册》请前往中吉国际项目管理有限公司广东分公司(输入链接网址http://www.zjzbgdfgs.com/)进入</w:t>
      </w:r>
      <w:r>
        <w:rPr>
          <w:rFonts w:hint="eastAsia" w:ascii="宋体" w:hAnsi="宋体" w:eastAsia="宋体" w:cs="宋体"/>
          <w:b/>
          <w:color w:val="C00000"/>
          <w:sz w:val="22"/>
          <w:szCs w:val="24"/>
        </w:rPr>
        <w:t>下载中心下载</w:t>
      </w:r>
      <w:r>
        <w:rPr>
          <w:rFonts w:hint="eastAsia" w:ascii="宋体" w:hAnsi="宋体" w:eastAsia="宋体" w:cs="宋体"/>
          <w:color w:val="C00000"/>
          <w:sz w:val="22"/>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（1）投标响应。凡愿意参加</w:t>
      </w:r>
      <w:r>
        <w:rPr>
          <w:rFonts w:hint="eastAsia" w:ascii="宋体" w:hAnsi="宋体" w:eastAsia="宋体" w:cs="宋体"/>
          <w:sz w:val="24"/>
          <w:szCs w:val="24"/>
        </w:rPr>
        <w:t>竞标</w:t>
      </w:r>
      <w:r>
        <w:rPr>
          <w:rFonts w:ascii="宋体" w:hAnsi="宋体" w:eastAsia="宋体" w:cs="宋体"/>
          <w:sz w:val="24"/>
          <w:szCs w:val="24"/>
        </w:rPr>
        <w:t>的合格供应</w:t>
      </w:r>
      <w:r>
        <w:rPr>
          <w:rFonts w:hint="eastAsia" w:ascii="宋体" w:hAnsi="宋体" w:eastAsia="宋体" w:cs="宋体"/>
          <w:sz w:val="24"/>
          <w:szCs w:val="24"/>
        </w:rPr>
        <w:t>商</w:t>
      </w:r>
      <w:r>
        <w:rPr>
          <w:rFonts w:ascii="宋体" w:hAnsi="宋体" w:eastAsia="宋体" w:cs="宋体"/>
          <w:sz w:val="24"/>
          <w:szCs w:val="24"/>
        </w:rPr>
        <w:t>，在</w:t>
      </w:r>
      <w:r>
        <w:rPr>
          <w:rFonts w:hint="eastAsia" w:ascii="宋体" w:hAnsi="宋体" w:eastAsia="宋体" w:cs="宋体"/>
          <w:sz w:val="24"/>
          <w:szCs w:val="24"/>
        </w:rPr>
        <w:t>竞标</w:t>
      </w:r>
      <w:r>
        <w:rPr>
          <w:rFonts w:ascii="宋体" w:hAnsi="宋体" w:eastAsia="宋体" w:cs="宋体"/>
          <w:sz w:val="24"/>
          <w:szCs w:val="24"/>
        </w:rPr>
        <w:t>截止时间前，</w:t>
      </w:r>
      <w:r>
        <w:rPr>
          <w:rFonts w:hint="eastAsia" w:ascii="宋体" w:hAnsi="宋体" w:eastAsia="宋体" w:cs="宋体"/>
          <w:sz w:val="24"/>
          <w:szCs w:val="24"/>
        </w:rPr>
        <w:t>请前往中吉国际项目管理有限公司广东分公司【竞标专区】（输入链接网址http://www.zjzbgdfgs.com/）竞标专区</w:t>
      </w:r>
      <w:r>
        <w:rPr>
          <w:rFonts w:ascii="宋体" w:hAnsi="宋体" w:eastAsia="宋体" w:cs="宋体"/>
          <w:sz w:val="24"/>
          <w:szCs w:val="24"/>
        </w:rPr>
        <w:t>，</w:t>
      </w:r>
      <w:r>
        <w:rPr>
          <w:rFonts w:hint="eastAsia" w:ascii="宋体" w:hAnsi="宋体" w:eastAsia="宋体" w:cs="宋体"/>
          <w:sz w:val="24"/>
          <w:szCs w:val="24"/>
        </w:rPr>
        <w:t>免费报名</w:t>
      </w:r>
      <w:r>
        <w:rPr>
          <w:rFonts w:ascii="宋体" w:hAnsi="宋体" w:eastAsia="宋体" w:cs="宋体"/>
          <w:sz w:val="24"/>
          <w:szCs w:val="24"/>
        </w:rPr>
        <w:t>下载查看</w:t>
      </w:r>
      <w:r>
        <w:rPr>
          <w:rFonts w:hint="eastAsia" w:ascii="宋体" w:hAnsi="宋体" w:eastAsia="宋体" w:cs="宋体"/>
          <w:sz w:val="24"/>
          <w:szCs w:val="24"/>
        </w:rPr>
        <w:t>竞标</w:t>
      </w:r>
      <w:r>
        <w:rPr>
          <w:rFonts w:ascii="宋体" w:hAnsi="宋体" w:eastAsia="宋体" w:cs="宋体"/>
          <w:sz w:val="24"/>
          <w:szCs w:val="24"/>
        </w:rPr>
        <w:t>文件</w:t>
      </w:r>
      <w:r>
        <w:rPr>
          <w:rFonts w:hint="eastAsia" w:ascii="宋体" w:hAnsi="宋体" w:eastAsia="宋体" w:cs="宋体"/>
          <w:sz w:val="24"/>
          <w:szCs w:val="24"/>
        </w:rPr>
        <w:t>（报名截止时间</w:t>
      </w:r>
      <w:r>
        <w:rPr>
          <w:rFonts w:hint="eastAsia" w:ascii="宋体" w:hAnsi="宋体" w:eastAsia="宋体" w:cs="宋体"/>
          <w:b/>
          <w:bCs/>
          <w:color w:val="FF0000"/>
          <w:sz w:val="24"/>
          <w:szCs w:val="24"/>
          <w:u w:val="single"/>
        </w:rPr>
        <w:t>2023年</w:t>
      </w:r>
      <w:r>
        <w:rPr>
          <w:rFonts w:hint="eastAsia" w:ascii="宋体" w:hAnsi="宋体" w:eastAsia="宋体" w:cs="宋体"/>
          <w:b/>
          <w:color w:val="FF0000"/>
          <w:sz w:val="24"/>
          <w:szCs w:val="24"/>
          <w:u w:val="single"/>
          <w:lang w:val="en-US" w:eastAsia="zh-CN"/>
        </w:rPr>
        <w:t>07</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u w:val="single"/>
          <w:lang w:val="en-US" w:eastAsia="zh-CN"/>
        </w:rPr>
        <w:t>11</w:t>
      </w:r>
      <w:r>
        <w:rPr>
          <w:rFonts w:hint="eastAsia" w:ascii="宋体" w:hAnsi="宋体" w:eastAsia="宋体" w:cs="宋体"/>
          <w:b/>
          <w:color w:val="FF0000"/>
          <w:sz w:val="24"/>
          <w:szCs w:val="24"/>
          <w:u w:val="single"/>
        </w:rPr>
        <w:t>日</w:t>
      </w:r>
      <w:r>
        <w:rPr>
          <w:rFonts w:hint="eastAsia" w:ascii="宋体" w:hAnsi="宋体" w:eastAsia="宋体" w:cs="宋体"/>
          <w:b/>
          <w:bCs/>
          <w:color w:val="FF0000"/>
          <w:sz w:val="24"/>
          <w:u w:val="single"/>
        </w:rPr>
        <w:t>17:00</w:t>
      </w:r>
      <w:r>
        <w:rPr>
          <w:rFonts w:hint="eastAsia" w:ascii="宋体" w:hAnsi="宋体" w:eastAsia="宋体" w:cs="宋体"/>
          <w:sz w:val="24"/>
        </w:rPr>
        <w:t>（北京时间，法定节假日除外）</w:t>
      </w:r>
      <w:r>
        <w:rPr>
          <w:rFonts w:hint="eastAsia" w:ascii="宋体" w:hAnsi="宋体" w:eastAsia="宋体" w:cs="宋体"/>
          <w:sz w:val="24"/>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（2）报价。请在</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07</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szCs w:val="24"/>
          <w:u w:val="single"/>
          <w:lang w:val="en-US" w:eastAsia="zh-CN"/>
        </w:rPr>
        <w:t>12</w:t>
      </w:r>
      <w:r>
        <w:rPr>
          <w:rFonts w:hint="eastAsia" w:ascii="宋体" w:hAnsi="宋体" w:eastAsia="宋体" w:cs="宋体"/>
          <w:b/>
          <w:color w:val="FF0000"/>
          <w:sz w:val="24"/>
          <w:szCs w:val="24"/>
          <w:u w:val="single"/>
        </w:rPr>
        <w:t>日</w:t>
      </w:r>
      <w:r>
        <w:rPr>
          <w:rFonts w:hint="eastAsia" w:ascii="宋体" w:hAnsi="宋体" w:eastAsia="宋体" w:cs="宋体"/>
          <w:b/>
          <w:color w:val="FF0000"/>
          <w:sz w:val="24"/>
          <w:u w:val="single"/>
          <w:lang w:val="en-US" w:eastAsia="zh-CN"/>
        </w:rPr>
        <w:t>09</w:t>
      </w:r>
      <w:r>
        <w:rPr>
          <w:rFonts w:hint="eastAsia" w:ascii="宋体" w:hAnsi="宋体" w:eastAsia="宋体" w:cs="宋体"/>
          <w:b/>
          <w:color w:val="FF0000"/>
          <w:sz w:val="24"/>
          <w:u w:val="single"/>
        </w:rPr>
        <w:t>:30</w:t>
      </w:r>
      <w:r>
        <w:rPr>
          <w:rFonts w:ascii="宋体" w:hAnsi="宋体" w:eastAsia="宋体" w:cs="宋体"/>
          <w:sz w:val="24"/>
          <w:szCs w:val="24"/>
        </w:rPr>
        <w:t>之前把应答文件上传到</w:t>
      </w:r>
      <w:r>
        <w:rPr>
          <w:rFonts w:hint="eastAsia" w:ascii="宋体" w:hAnsi="宋体" w:eastAsia="宋体" w:cs="宋体"/>
          <w:sz w:val="24"/>
          <w:szCs w:val="24"/>
        </w:rPr>
        <w:t>中吉国际项目管理有限公司广东分公司（输入链接网址http://www.zjzbgdfgs.com/）</w:t>
      </w:r>
      <w:r>
        <w:rPr>
          <w:rFonts w:ascii="宋体" w:hAnsi="宋体" w:eastAsia="宋体" w:cs="宋体"/>
          <w:sz w:val="24"/>
          <w:szCs w:val="24"/>
        </w:rPr>
        <w:t>。</w:t>
      </w:r>
    </w:p>
    <w:p>
      <w:pPr>
        <w:spacing w:before="156" w:beforeLines="50" w:line="348" w:lineRule="auto"/>
        <w:ind w:firstLine="480" w:firstLineChars="200"/>
        <w:rPr>
          <w:rFonts w:ascii="宋体" w:hAnsi="宋体" w:eastAsia="宋体" w:cs="宋体"/>
          <w:sz w:val="24"/>
          <w:szCs w:val="24"/>
        </w:rPr>
      </w:pPr>
      <w:r>
        <w:rPr>
          <w:rFonts w:ascii="宋体" w:hAnsi="宋体" w:eastAsia="宋体" w:cs="宋体"/>
          <w:sz w:val="24"/>
          <w:szCs w:val="24"/>
        </w:rPr>
        <w:t>（3）确定</w:t>
      </w:r>
      <w:r>
        <w:rPr>
          <w:rFonts w:hint="eastAsia" w:ascii="宋体" w:hAnsi="宋体" w:eastAsia="宋体" w:cs="宋体"/>
          <w:sz w:val="24"/>
          <w:szCs w:val="24"/>
        </w:rPr>
        <w:t>竞标</w:t>
      </w:r>
      <w:r>
        <w:rPr>
          <w:rFonts w:ascii="宋体" w:hAnsi="宋体" w:eastAsia="宋体" w:cs="宋体"/>
          <w:sz w:val="24"/>
          <w:szCs w:val="24"/>
        </w:rPr>
        <w:t>结果。采购人按照成交原则，确定中标人。</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（4）发布成交公告。在确定中标人后发布成交公告。</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2、时间安排：</w:t>
      </w:r>
    </w:p>
    <w:p>
      <w:pPr>
        <w:widowControl/>
        <w:adjustRightInd w:val="0"/>
        <w:spacing w:line="348" w:lineRule="auto"/>
        <w:ind w:firstLine="482" w:firstLineChars="200"/>
        <w:jc w:val="left"/>
        <w:rPr>
          <w:rFonts w:ascii="宋体" w:hAnsi="宋体" w:eastAsia="宋体" w:cs="宋体"/>
          <w:b/>
          <w:color w:val="FF0000"/>
          <w:kern w:val="0"/>
          <w:sz w:val="24"/>
          <w:szCs w:val="24"/>
        </w:rPr>
      </w:pPr>
      <w:r>
        <w:rPr>
          <w:rFonts w:hint="eastAsia" w:ascii="宋体" w:hAnsi="宋体" w:eastAsia="宋体" w:cs="宋体"/>
          <w:b/>
          <w:kern w:val="0"/>
          <w:sz w:val="24"/>
          <w:szCs w:val="24"/>
        </w:rPr>
        <w:t>（1）公告发布日期：</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07</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u w:val="single"/>
          <w:lang w:val="en-US" w:eastAsia="zh-CN"/>
        </w:rPr>
        <w:t>04</w:t>
      </w:r>
      <w:r>
        <w:rPr>
          <w:rFonts w:hint="eastAsia" w:ascii="宋体" w:hAnsi="宋体" w:eastAsia="宋体" w:cs="宋体"/>
          <w:b/>
          <w:color w:val="FF0000"/>
          <w:sz w:val="24"/>
          <w:szCs w:val="24"/>
          <w:u w:val="single"/>
        </w:rPr>
        <w:t>日</w:t>
      </w:r>
      <w:r>
        <w:rPr>
          <w:rFonts w:ascii="宋体" w:hAnsi="宋体" w:eastAsia="宋体" w:cs="宋体"/>
          <w:b/>
          <w:color w:val="FF0000"/>
          <w:kern w:val="0"/>
          <w:sz w:val="24"/>
          <w:szCs w:val="24"/>
        </w:rPr>
        <w:t>（北京时间）</w:t>
      </w:r>
    </w:p>
    <w:p>
      <w:pPr>
        <w:widowControl/>
        <w:adjustRightInd w:val="0"/>
        <w:spacing w:line="348" w:lineRule="auto"/>
        <w:ind w:firstLine="482" w:firstLineChars="200"/>
        <w:jc w:val="left"/>
        <w:rPr>
          <w:rFonts w:ascii="宋体" w:hAnsi="宋体" w:eastAsia="宋体" w:cs="宋体"/>
          <w:b/>
          <w:color w:val="FF0000"/>
          <w:sz w:val="24"/>
          <w:szCs w:val="24"/>
          <w:u w:val="single"/>
        </w:rPr>
      </w:pPr>
      <w:r>
        <w:rPr>
          <w:rFonts w:hint="eastAsia" w:ascii="宋体" w:hAnsi="宋体" w:eastAsia="宋体" w:cs="宋体"/>
          <w:b/>
          <w:kern w:val="0"/>
          <w:sz w:val="24"/>
          <w:szCs w:val="24"/>
        </w:rPr>
        <w:t>（2）公告期限：</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07</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u w:val="single"/>
          <w:lang w:val="en-US" w:eastAsia="zh-CN"/>
        </w:rPr>
        <w:t>04</w:t>
      </w:r>
      <w:r>
        <w:rPr>
          <w:rFonts w:hint="eastAsia" w:ascii="宋体" w:hAnsi="宋体" w:eastAsia="宋体" w:cs="宋体"/>
          <w:b/>
          <w:color w:val="FF0000"/>
          <w:sz w:val="24"/>
          <w:szCs w:val="24"/>
          <w:u w:val="single"/>
        </w:rPr>
        <w:t>日</w:t>
      </w:r>
      <w:r>
        <w:rPr>
          <w:rFonts w:hint="eastAsia" w:ascii="宋体" w:hAnsi="宋体" w:eastAsia="宋体" w:cs="宋体"/>
          <w:b/>
          <w:color w:val="FF0000"/>
          <w:kern w:val="0"/>
          <w:sz w:val="24"/>
          <w:szCs w:val="24"/>
          <w:u w:val="single"/>
        </w:rPr>
        <w:t>-</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07</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u w:val="single"/>
          <w:lang w:val="en-US" w:eastAsia="zh-CN"/>
        </w:rPr>
        <w:t>11</w:t>
      </w:r>
      <w:r>
        <w:rPr>
          <w:rFonts w:hint="eastAsia" w:ascii="宋体" w:hAnsi="宋体" w:eastAsia="宋体" w:cs="宋体"/>
          <w:b/>
          <w:color w:val="FF0000"/>
          <w:sz w:val="24"/>
          <w:szCs w:val="24"/>
          <w:u w:val="single"/>
        </w:rPr>
        <w:t>日</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（3）竞标</w:t>
      </w:r>
      <w:r>
        <w:rPr>
          <w:rFonts w:ascii="宋体" w:hAnsi="宋体" w:eastAsia="宋体" w:cs="宋体"/>
          <w:b/>
          <w:kern w:val="0"/>
          <w:sz w:val="24"/>
          <w:szCs w:val="24"/>
        </w:rPr>
        <w:t>截止时间：</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07</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szCs w:val="24"/>
          <w:u w:val="single"/>
          <w:lang w:val="en-US" w:eastAsia="zh-CN"/>
        </w:rPr>
        <w:t>12</w:t>
      </w:r>
      <w:r>
        <w:rPr>
          <w:rFonts w:hint="eastAsia" w:ascii="宋体" w:hAnsi="宋体" w:eastAsia="宋体" w:cs="宋体"/>
          <w:b/>
          <w:color w:val="FF0000"/>
          <w:sz w:val="24"/>
          <w:szCs w:val="24"/>
          <w:u w:val="single"/>
        </w:rPr>
        <w:t>日</w:t>
      </w:r>
      <w:r>
        <w:rPr>
          <w:rFonts w:hint="eastAsia" w:ascii="宋体" w:hAnsi="宋体" w:eastAsia="宋体" w:cs="宋体"/>
          <w:b/>
          <w:color w:val="FF0000"/>
          <w:sz w:val="24"/>
          <w:u w:val="single"/>
          <w:lang w:val="en-US" w:eastAsia="zh-CN"/>
        </w:rPr>
        <w:t>09</w:t>
      </w:r>
      <w:r>
        <w:rPr>
          <w:rFonts w:hint="eastAsia" w:ascii="宋体" w:hAnsi="宋体" w:eastAsia="宋体" w:cs="宋体"/>
          <w:b/>
          <w:color w:val="FF0000"/>
          <w:sz w:val="24"/>
          <w:u w:val="single"/>
        </w:rPr>
        <w:t>:30</w:t>
      </w:r>
      <w:r>
        <w:rPr>
          <w:rFonts w:ascii="宋体" w:hAnsi="宋体" w:eastAsia="宋体" w:cs="宋体"/>
          <w:b/>
          <w:color w:val="FF0000"/>
          <w:kern w:val="0"/>
          <w:sz w:val="24"/>
          <w:szCs w:val="24"/>
        </w:rPr>
        <w:t>（北京时间）</w:t>
      </w:r>
    </w:p>
    <w:p>
      <w:pPr>
        <w:pStyle w:val="4"/>
        <w:tabs>
          <w:tab w:val="left" w:pos="1800"/>
        </w:tabs>
        <w:spacing w:before="120" w:after="120" w:line="360" w:lineRule="auto"/>
        <w:rPr>
          <w:rFonts w:cs="仿宋" w:asciiTheme="minorEastAsia" w:hAnsiTheme="minorEastAsia" w:eastAsiaTheme="minorEastAsia"/>
          <w:sz w:val="24"/>
          <w:szCs w:val="28"/>
        </w:rPr>
      </w:pPr>
      <w:bookmarkStart w:id="33" w:name="_Toc14278"/>
      <w:bookmarkStart w:id="34" w:name="_Toc29657"/>
      <w:bookmarkStart w:id="35" w:name="_Toc68769464"/>
      <w:bookmarkStart w:id="36" w:name="_Toc410"/>
      <w:r>
        <w:rPr>
          <w:rFonts w:hint="eastAsia" w:cs="仿宋" w:asciiTheme="minorEastAsia" w:hAnsiTheme="minorEastAsia" w:eastAsiaTheme="minorEastAsia"/>
          <w:sz w:val="24"/>
          <w:szCs w:val="28"/>
        </w:rPr>
        <w:t>四、竞标文件主要内容</w:t>
      </w:r>
      <w:bookmarkEnd w:id="33"/>
      <w:bookmarkEnd w:id="34"/>
      <w:bookmarkEnd w:id="35"/>
      <w:bookmarkEnd w:id="36"/>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1、项目竞标文件由</w:t>
      </w:r>
      <w:r>
        <w:rPr>
          <w:rFonts w:hint="eastAsia" w:ascii="宋体" w:hAnsi="宋体" w:eastAsia="宋体" w:cs="宋体"/>
          <w:b/>
          <w:kern w:val="0"/>
          <w:sz w:val="24"/>
          <w:szCs w:val="24"/>
        </w:rPr>
        <w:t>邀请竞标公告</w:t>
      </w:r>
      <w:r>
        <w:rPr>
          <w:rFonts w:hint="eastAsia" w:ascii="宋体" w:hAnsi="宋体" w:eastAsia="宋体" w:cs="宋体"/>
          <w:kern w:val="0"/>
          <w:sz w:val="24"/>
          <w:szCs w:val="24"/>
        </w:rPr>
        <w:t>、</w:t>
      </w:r>
      <w:r>
        <w:rPr>
          <w:rFonts w:hint="eastAsia" w:ascii="宋体" w:hAnsi="宋体" w:eastAsia="宋体" w:cs="宋体"/>
          <w:b/>
          <w:kern w:val="0"/>
          <w:sz w:val="24"/>
          <w:szCs w:val="24"/>
        </w:rPr>
        <w:t>竞标采购需求明细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竞标应答文件格式</w:t>
      </w:r>
      <w:r>
        <w:rPr>
          <w:rFonts w:hint="eastAsia" w:ascii="宋体" w:hAnsi="宋体" w:eastAsia="宋体" w:cs="宋体"/>
          <w:kern w:val="0"/>
          <w:sz w:val="24"/>
          <w:szCs w:val="24"/>
        </w:rPr>
        <w:t>三部分组成。</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2、竞标采购需求明细主要包含本项目的项目清单、服务要求、商务要求等。</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3、邀请竞标公告和竞标采购需求明细出现不一致时，按以下优先顺序解释：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本项目对供应商的资格及要求以邀请竞标公告为准，当邀请竞标公告与竞标采购需求明细不一致时，邀请竞标公告优于竞标采购需求明细。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4、供应商按竞标应答文件格式要求填写响应内容，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4"/>
        <w:tabs>
          <w:tab w:val="left" w:pos="1800"/>
        </w:tabs>
        <w:spacing w:before="120" w:after="120" w:line="360" w:lineRule="auto"/>
        <w:rPr>
          <w:rFonts w:cs="仿宋" w:asciiTheme="minorEastAsia" w:hAnsiTheme="minorEastAsia" w:eastAsiaTheme="minorEastAsia"/>
          <w:sz w:val="24"/>
          <w:szCs w:val="28"/>
        </w:rPr>
      </w:pPr>
      <w:bookmarkStart w:id="37" w:name="_Toc5327"/>
      <w:bookmarkStart w:id="38" w:name="_Toc22647"/>
      <w:bookmarkStart w:id="39" w:name="_Toc68769465"/>
      <w:bookmarkStart w:id="40" w:name="_Toc32239"/>
      <w:r>
        <w:rPr>
          <w:rFonts w:hint="eastAsia" w:cs="仿宋" w:asciiTheme="minorEastAsia" w:hAnsiTheme="minorEastAsia" w:eastAsiaTheme="minorEastAsia"/>
          <w:sz w:val="24"/>
          <w:szCs w:val="28"/>
        </w:rPr>
        <w:t>五、竞标成交原则</w:t>
      </w:r>
      <w:bookmarkEnd w:id="37"/>
      <w:bookmarkEnd w:id="38"/>
      <w:bookmarkEnd w:id="39"/>
      <w:bookmarkEnd w:id="40"/>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1、有效供应商及数量：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有效供应商是指参加本项目竞标，且对本项目进行实质性响应的供应商。有效供应商数量应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，否则项目邀请竞标失败。</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，完全满足竞标文件的实质性要求，按照报价由低到高的顺序，依据竞标文件中规定的数量或比例推荐候选中标供应商。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3、采购人在参与竞标的有效供应商中，按照最低价法，确定最低报价的1家为中标供应商。如出现两家或以上的最低报价，由采购人自行确定1家为中标供应商。</w:t>
      </w:r>
    </w:p>
    <w:p>
      <w:pPr>
        <w:adjustRightInd w:val="0"/>
        <w:spacing w:line="348"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pStyle w:val="11"/>
      </w:pPr>
    </w:p>
    <w:p>
      <w:pPr>
        <w:pStyle w:val="4"/>
        <w:tabs>
          <w:tab w:val="left" w:pos="1800"/>
        </w:tabs>
        <w:spacing w:before="120" w:after="120" w:line="360" w:lineRule="auto"/>
        <w:rPr>
          <w:rFonts w:cs="仿宋" w:asciiTheme="minorEastAsia" w:hAnsiTheme="minorEastAsia" w:eastAsiaTheme="minorEastAsia"/>
          <w:sz w:val="24"/>
          <w:szCs w:val="28"/>
        </w:rPr>
      </w:pPr>
      <w:bookmarkStart w:id="41" w:name="_Toc2920"/>
      <w:bookmarkStart w:id="42" w:name="_Toc19722"/>
      <w:bookmarkStart w:id="43" w:name="_Toc68769466"/>
      <w:bookmarkStart w:id="44" w:name="_Toc26951"/>
      <w:r>
        <w:rPr>
          <w:rFonts w:hint="eastAsia" w:cs="仿宋" w:asciiTheme="minorEastAsia" w:hAnsiTheme="minorEastAsia" w:eastAsiaTheme="minorEastAsia"/>
          <w:sz w:val="24"/>
          <w:szCs w:val="28"/>
        </w:rPr>
        <w:t>六、供应商实质性响应标准</w:t>
      </w:r>
      <w:bookmarkEnd w:id="41"/>
      <w:bookmarkEnd w:id="42"/>
      <w:bookmarkEnd w:id="43"/>
      <w:bookmarkEnd w:id="44"/>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1、报价总价超过项目中的预算金额，或者报价单价超过项目对应的单项预算。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2、供应商响应的服务要求不符合本项目采购需求明细中约定的服务要求。</w:t>
      </w:r>
    </w:p>
    <w:p>
      <w:pPr>
        <w:widowControl/>
        <w:adjustRightInd w:val="0"/>
        <w:spacing w:line="348" w:lineRule="auto"/>
        <w:ind w:firstLine="480" w:firstLineChars="200"/>
        <w:jc w:val="left"/>
      </w:pPr>
      <w:r>
        <w:rPr>
          <w:rFonts w:hint="eastAsia" w:ascii="宋体" w:hAnsi="宋体" w:eastAsia="宋体" w:cs="宋体"/>
          <w:kern w:val="0"/>
          <w:sz w:val="24"/>
          <w:szCs w:val="24"/>
        </w:rPr>
        <w:t>3、供应商响应的商务要求不符合本项目竞标采购需求明细中约定的商务要求。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4、供应商应答文件中分项报价之和与竞标总价不一致时，其修正后的分项报价之和大于其报价总价的。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5、供应商应答文件未按竞标应答文件格式规定内容、格式提交或填写不完整</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6、有法律、法规规定的其他无效情形。</w:t>
      </w:r>
    </w:p>
    <w:p>
      <w:pPr>
        <w:pStyle w:val="4"/>
        <w:tabs>
          <w:tab w:val="left" w:pos="1800"/>
        </w:tabs>
        <w:spacing w:before="120" w:after="120" w:line="360" w:lineRule="auto"/>
        <w:rPr>
          <w:rFonts w:cs="仿宋" w:asciiTheme="minorEastAsia" w:hAnsiTheme="minorEastAsia" w:eastAsiaTheme="minorEastAsia"/>
          <w:sz w:val="24"/>
          <w:szCs w:val="28"/>
        </w:rPr>
      </w:pPr>
      <w:bookmarkStart w:id="45" w:name="_Toc5527"/>
      <w:bookmarkStart w:id="46" w:name="_Toc25723"/>
      <w:bookmarkStart w:id="47" w:name="_Toc68769467"/>
      <w:bookmarkStart w:id="48" w:name="_Toc21961"/>
      <w:r>
        <w:rPr>
          <w:rFonts w:hint="eastAsia" w:cs="仿宋" w:asciiTheme="minorEastAsia" w:hAnsiTheme="minorEastAsia" w:eastAsiaTheme="minorEastAsia"/>
          <w:sz w:val="24"/>
          <w:szCs w:val="28"/>
        </w:rPr>
        <w:t>七、竞标争议的解决</w:t>
      </w:r>
      <w:bookmarkEnd w:id="45"/>
      <w:bookmarkEnd w:id="46"/>
      <w:bookmarkEnd w:id="47"/>
      <w:bookmarkEnd w:id="48"/>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竞标应答文件中分项报价之和与竞标总价不一致时，其修正后的分项报价之和小于其竞标总价的，竞标结果排序以竞标总价为准，若该供应商中标（成交），以修正后的分项报价之和为成交金额并签订合同。</w:t>
      </w:r>
    </w:p>
    <w:p>
      <w:pPr>
        <w:pStyle w:val="4"/>
        <w:tabs>
          <w:tab w:val="left" w:pos="1800"/>
        </w:tabs>
        <w:spacing w:before="120" w:after="120" w:line="360" w:lineRule="auto"/>
        <w:rPr>
          <w:rFonts w:cs="仿宋" w:asciiTheme="minorEastAsia" w:hAnsiTheme="minorEastAsia" w:eastAsiaTheme="minorEastAsia"/>
          <w:sz w:val="24"/>
          <w:szCs w:val="28"/>
        </w:rPr>
      </w:pPr>
      <w:bookmarkStart w:id="49" w:name="_Toc22003"/>
      <w:bookmarkStart w:id="50" w:name="_Toc10219"/>
      <w:bookmarkStart w:id="51" w:name="_Toc26969"/>
      <w:bookmarkStart w:id="52" w:name="_Toc68769468"/>
      <w:r>
        <w:rPr>
          <w:rFonts w:hint="eastAsia" w:cs="仿宋" w:asciiTheme="minorEastAsia" w:hAnsiTheme="minorEastAsia" w:eastAsiaTheme="minorEastAsia"/>
          <w:sz w:val="24"/>
          <w:szCs w:val="28"/>
        </w:rPr>
        <w:t>八、竞标有关情况处理</w:t>
      </w:r>
      <w:bookmarkEnd w:id="49"/>
      <w:bookmarkEnd w:id="50"/>
      <w:bookmarkEnd w:id="51"/>
      <w:bookmarkEnd w:id="52"/>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1、项目竞标失败：因有效投标供应商不足三家而致邀请竞标失败的，经采购单位同意，重新实施采购或依据有效投标供应商数量，在评标现场即转为邀请竞标或直接采购。</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4、供应商竞标截止后撤销其竞标，中标（成交）后无正当理由未在规定期限内签订合同或者拒绝履行合同义务的，按相关规定处理，并将记入诚信档案处理。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5、供应商应严格按照竞标文件（邀请竞标公告、竞标采购需求明细和竞标应答文件格式）规定的要求诚信投标（应答），并对竞标行为和结果承担法律责任。</w:t>
      </w:r>
    </w:p>
    <w:p>
      <w:pPr>
        <w:pStyle w:val="20"/>
      </w:pPr>
    </w:p>
    <w:p>
      <w:pPr>
        <w:pStyle w:val="4"/>
        <w:tabs>
          <w:tab w:val="left" w:pos="1800"/>
        </w:tabs>
        <w:spacing w:before="120" w:after="120" w:line="360" w:lineRule="auto"/>
        <w:rPr>
          <w:rFonts w:cs="仿宋" w:asciiTheme="minorEastAsia" w:hAnsiTheme="minorEastAsia" w:eastAsiaTheme="minorEastAsia"/>
          <w:sz w:val="24"/>
          <w:szCs w:val="28"/>
        </w:rPr>
      </w:pPr>
      <w:bookmarkStart w:id="53" w:name="_Toc14864"/>
      <w:bookmarkStart w:id="54" w:name="_Toc14623"/>
      <w:bookmarkStart w:id="55" w:name="_Toc68769469"/>
      <w:bookmarkStart w:id="56" w:name="_Toc17468"/>
      <w:r>
        <w:rPr>
          <w:rFonts w:hint="eastAsia" w:cs="仿宋" w:asciiTheme="minorEastAsia" w:hAnsiTheme="minorEastAsia" w:eastAsiaTheme="minorEastAsia"/>
          <w:sz w:val="24"/>
          <w:szCs w:val="28"/>
        </w:rPr>
        <w:t>九、</w:t>
      </w:r>
      <w:r>
        <w:rPr>
          <w:rFonts w:cs="仿宋" w:asciiTheme="minorEastAsia" w:hAnsiTheme="minorEastAsia" w:eastAsiaTheme="minorEastAsia"/>
          <w:sz w:val="24"/>
          <w:szCs w:val="28"/>
        </w:rPr>
        <w:t>交纳投标保证金</w:t>
      </w:r>
      <w:bookmarkEnd w:id="53"/>
      <w:bookmarkEnd w:id="54"/>
      <w:bookmarkEnd w:id="55"/>
      <w:bookmarkEnd w:id="56"/>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本项目不需要缴纳投标保证金。</w:t>
      </w:r>
    </w:p>
    <w:p>
      <w:pPr>
        <w:pStyle w:val="4"/>
        <w:tabs>
          <w:tab w:val="left" w:pos="1800"/>
        </w:tabs>
        <w:spacing w:before="120" w:after="120" w:line="360" w:lineRule="auto"/>
        <w:rPr>
          <w:rFonts w:cs="仿宋" w:asciiTheme="minorEastAsia" w:hAnsiTheme="minorEastAsia" w:eastAsiaTheme="minorEastAsia"/>
          <w:sz w:val="24"/>
          <w:szCs w:val="28"/>
        </w:rPr>
      </w:pPr>
      <w:bookmarkStart w:id="57" w:name="_Toc32473"/>
      <w:bookmarkStart w:id="58" w:name="_Toc11990"/>
      <w:bookmarkStart w:id="59" w:name="_Toc910"/>
      <w:bookmarkStart w:id="60" w:name="_Toc68769470"/>
      <w:r>
        <w:rPr>
          <w:rFonts w:hint="eastAsia" w:cs="仿宋" w:asciiTheme="minorEastAsia" w:hAnsiTheme="minorEastAsia" w:eastAsiaTheme="minorEastAsia"/>
          <w:sz w:val="24"/>
          <w:szCs w:val="28"/>
        </w:rPr>
        <w:t>十、</w:t>
      </w:r>
      <w:r>
        <w:rPr>
          <w:rStyle w:val="47"/>
          <w:rFonts w:ascii="宋体" w:hAnsi="宋体"/>
          <w:color w:val="000000"/>
          <w:sz w:val="24"/>
          <w:szCs w:val="24"/>
        </w:rPr>
        <w:t>招标代理服务费</w:t>
      </w:r>
      <w:bookmarkEnd w:id="57"/>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招标代理服务费以中标金额为计算基数，依照《深圳市财政委员会关于规范深圳市社会采购代理机构管理有关事项的补充通知》（深财购〔2018〕27号）规定的招标代理服务费收费办法收取，招标服务费用不足6000元的按6000元收取；招标代理费将在项目中标通知书发出前由中标人一次性付清。</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招标代理服务费缴纳至：</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开户名称：中吉国际项目管理有限公司广东分公司</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银行账号：4000</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0233</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0920</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0918</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740</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开户银行：中国工商银行深圳福田支行</w:t>
      </w:r>
    </w:p>
    <w:p>
      <w:pPr>
        <w:pStyle w:val="4"/>
        <w:tabs>
          <w:tab w:val="left" w:pos="1800"/>
        </w:tabs>
        <w:spacing w:before="120" w:after="120" w:line="360" w:lineRule="auto"/>
        <w:rPr>
          <w:rFonts w:cs="仿宋" w:asciiTheme="minorEastAsia" w:hAnsiTheme="minorEastAsia" w:eastAsiaTheme="minorEastAsia"/>
          <w:sz w:val="24"/>
          <w:szCs w:val="28"/>
        </w:rPr>
      </w:pPr>
      <w:bookmarkStart w:id="61" w:name="_Toc16465"/>
      <w:r>
        <w:rPr>
          <w:rFonts w:hint="eastAsia" w:cs="仿宋" w:asciiTheme="minorEastAsia" w:hAnsiTheme="minorEastAsia" w:eastAsiaTheme="minorEastAsia"/>
          <w:sz w:val="24"/>
          <w:szCs w:val="28"/>
        </w:rPr>
        <w:t>十一、重要提示</w:t>
      </w:r>
      <w:bookmarkEnd w:id="58"/>
      <w:bookmarkEnd w:id="59"/>
      <w:bookmarkEnd w:id="60"/>
      <w:bookmarkEnd w:id="61"/>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1、本项目竞标文件所涉及的时间一律为北京时间，投标币种均为人民币。供应商有义务在竞标活动期间浏览深圳公共资源交易网（http://www.szggzy.com）、</w:t>
      </w:r>
      <w:r>
        <w:rPr>
          <w:rFonts w:hint="eastAsia" w:ascii="宋体" w:hAnsi="宋体" w:eastAsia="宋体"/>
          <w:sz w:val="24"/>
          <w:szCs w:val="24"/>
        </w:rPr>
        <w:t>中吉国际项目管理有限公司广东分公司（http://www.zjzbgdfgs.com/）</w:t>
      </w:r>
      <w:r>
        <w:rPr>
          <w:rFonts w:hint="eastAsia" w:ascii="宋体" w:hAnsi="宋体" w:eastAsia="宋体" w:cs="宋体"/>
          <w:kern w:val="0"/>
          <w:sz w:val="24"/>
          <w:szCs w:val="24"/>
        </w:rPr>
        <w:t>，在</w:t>
      </w:r>
      <w:r>
        <w:rPr>
          <w:rFonts w:hint="eastAsia" w:ascii="宋体" w:hAnsi="宋体" w:eastAsia="宋体"/>
          <w:sz w:val="24"/>
          <w:szCs w:val="24"/>
        </w:rPr>
        <w:t>上述平台</w:t>
      </w:r>
      <w:r>
        <w:rPr>
          <w:rFonts w:hint="eastAsia" w:ascii="宋体" w:hAnsi="宋体" w:eastAsia="宋体" w:cs="宋体"/>
          <w:kern w:val="0"/>
          <w:sz w:val="24"/>
          <w:szCs w:val="24"/>
        </w:rPr>
        <w:t>公布的与本次竞标项目有关的信息视为已送达各供应商。</w:t>
      </w:r>
    </w:p>
    <w:p>
      <w:pPr>
        <w:pStyle w:val="4"/>
        <w:tabs>
          <w:tab w:val="left" w:pos="1800"/>
        </w:tabs>
        <w:spacing w:before="120" w:after="120" w:line="360" w:lineRule="auto"/>
        <w:rPr>
          <w:rFonts w:cs="仿宋" w:asciiTheme="minorEastAsia" w:hAnsiTheme="minorEastAsia" w:eastAsiaTheme="minorEastAsia"/>
          <w:sz w:val="24"/>
          <w:szCs w:val="28"/>
        </w:rPr>
      </w:pPr>
      <w:bookmarkStart w:id="62" w:name="_Toc7734"/>
      <w:bookmarkStart w:id="63" w:name="_Toc68769471"/>
      <w:bookmarkStart w:id="64" w:name="_Toc25311"/>
      <w:bookmarkStart w:id="65" w:name="_Toc24070"/>
      <w:r>
        <w:rPr>
          <w:rFonts w:hint="eastAsia" w:cs="仿宋" w:asciiTheme="minorEastAsia" w:hAnsiTheme="minorEastAsia" w:eastAsiaTheme="minorEastAsia"/>
          <w:sz w:val="24"/>
          <w:szCs w:val="28"/>
        </w:rPr>
        <w:t>十二、联系方式</w:t>
      </w:r>
      <w:bookmarkEnd w:id="62"/>
      <w:bookmarkEnd w:id="63"/>
      <w:bookmarkEnd w:id="64"/>
      <w:bookmarkEnd w:id="65"/>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称：深圳市公安局龙华分局</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址：深圳市龙华区梅龙大道98号</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联系人：叶警官</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联系方式：0755-85135070</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r>
        <w:rPr>
          <w:rFonts w:hint="eastAsia" w:ascii="宋体" w:hAnsi="宋体" w:eastAsia="宋体" w:cs="宋体"/>
          <w:kern w:val="0"/>
          <w:sz w:val="24"/>
          <w:szCs w:val="24"/>
        </w:rPr>
        <w:tab/>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项目联系人：</w:t>
      </w:r>
      <w:bookmarkEnd w:id="32"/>
      <w:r>
        <w:rPr>
          <w:rFonts w:hint="eastAsia" w:ascii="宋体" w:hAnsi="宋体" w:eastAsia="宋体" w:cs="宋体"/>
          <w:kern w:val="0"/>
          <w:sz w:val="24"/>
          <w:szCs w:val="24"/>
        </w:rPr>
        <w:t>林工、丁工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　话：15992502061、13554961292</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中吉国际项目管理有限公司</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2023年</w:t>
      </w:r>
      <w:r>
        <w:rPr>
          <w:rFonts w:hint="eastAsia" w:ascii="宋体" w:hAnsi="宋体" w:eastAsia="宋体" w:cs="宋体"/>
          <w:kern w:val="0"/>
          <w:sz w:val="24"/>
          <w:szCs w:val="24"/>
          <w:lang w:val="en-US" w:eastAsia="zh-CN"/>
        </w:rPr>
        <w:t>07</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04</w:t>
      </w:r>
      <w:r>
        <w:rPr>
          <w:rFonts w:hint="eastAsia" w:ascii="宋体" w:hAnsi="宋体" w:eastAsia="宋体" w:cs="宋体"/>
          <w:kern w:val="0"/>
          <w:sz w:val="24"/>
          <w:szCs w:val="24"/>
        </w:rPr>
        <w:t>日</w:t>
      </w:r>
    </w:p>
    <w:p>
      <w:pPr>
        <w:pStyle w:val="3"/>
        <w:rPr>
          <w:rFonts w:ascii="宋体" w:hAnsi="宋体"/>
          <w:sz w:val="44"/>
          <w:szCs w:val="32"/>
        </w:rPr>
      </w:pPr>
      <w:r>
        <w:rPr>
          <w:rFonts w:ascii="宋体" w:hAnsi="宋体"/>
          <w:sz w:val="32"/>
          <w:szCs w:val="32"/>
        </w:rPr>
        <w:br w:type="page"/>
      </w:r>
      <w:bookmarkStart w:id="66" w:name="_Toc67411737"/>
      <w:bookmarkStart w:id="67" w:name="_Toc17152"/>
      <w:bookmarkStart w:id="68" w:name="_Toc17432"/>
      <w:bookmarkStart w:id="69" w:name="_Toc68769472"/>
      <w:bookmarkStart w:id="70" w:name="_Toc8488"/>
      <w:r>
        <w:rPr>
          <w:rFonts w:hint="eastAsia" w:ascii="宋体" w:hAnsi="宋体"/>
          <w:sz w:val="44"/>
          <w:szCs w:val="32"/>
        </w:rPr>
        <w:t xml:space="preserve">第二章  </w:t>
      </w:r>
      <w:bookmarkEnd w:id="16"/>
      <w:bookmarkEnd w:id="17"/>
      <w:bookmarkEnd w:id="66"/>
      <w:r>
        <w:rPr>
          <w:rFonts w:hint="eastAsia" w:ascii="宋体" w:hAnsi="宋体"/>
          <w:sz w:val="44"/>
          <w:szCs w:val="32"/>
        </w:rPr>
        <w:t>竞标采购需求明细</w:t>
      </w:r>
      <w:bookmarkEnd w:id="67"/>
      <w:bookmarkEnd w:id="68"/>
      <w:bookmarkEnd w:id="69"/>
      <w:bookmarkEnd w:id="70"/>
    </w:p>
    <w:p>
      <w:pPr>
        <w:pStyle w:val="4"/>
        <w:spacing w:before="312" w:beforeLines="100" w:after="0"/>
        <w:rPr>
          <w:rFonts w:hAnsi="宋体"/>
        </w:rPr>
      </w:pPr>
      <w:bookmarkStart w:id="71" w:name="_Toc68769473"/>
      <w:bookmarkStart w:id="72" w:name="_Toc67411749"/>
      <w:bookmarkStart w:id="73" w:name="_Toc12751"/>
      <w:bookmarkStart w:id="74" w:name="_Toc8350"/>
      <w:bookmarkStart w:id="75" w:name="_Toc5424"/>
      <w:bookmarkStart w:id="76" w:name="_Toc30573109"/>
      <w:bookmarkStart w:id="77" w:name="_Toc394673886"/>
      <w:bookmarkStart w:id="78" w:name="_Toc475606995"/>
      <w:bookmarkStart w:id="79" w:name="_Toc25880"/>
      <w:r>
        <w:rPr>
          <w:rFonts w:hint="eastAsia" w:hAnsi="宋体"/>
        </w:rPr>
        <w:t>一、项目清单</w:t>
      </w:r>
      <w:bookmarkEnd w:id="71"/>
      <w:bookmarkEnd w:id="72"/>
      <w:bookmarkEnd w:id="73"/>
      <w:bookmarkEnd w:id="74"/>
      <w:bookmarkEnd w:id="75"/>
    </w:p>
    <w:tbl>
      <w:tblPr>
        <w:tblStyle w:val="30"/>
        <w:tblW w:w="503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67"/>
        <w:gridCol w:w="3688"/>
        <w:gridCol w:w="742"/>
        <w:gridCol w:w="909"/>
        <w:gridCol w:w="1759"/>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17"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shd w:val="clear" w:color="auto" w:fill="DCE6F2"/>
              </w:rPr>
              <w:t>序号</w:t>
            </w:r>
          </w:p>
        </w:tc>
        <w:tc>
          <w:tcPr>
            <w:tcW w:w="200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03"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单位</w:t>
            </w:r>
          </w:p>
        </w:tc>
        <w:tc>
          <w:tcPr>
            <w:tcW w:w="956"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预算金额（元）</w:t>
            </w:r>
          </w:p>
        </w:tc>
        <w:tc>
          <w:tcPr>
            <w:tcW w:w="1341" w:type="dxa"/>
            <w:shd w:val="clear" w:color="auto" w:fill="DCE6F2"/>
            <w:vAlign w:val="center"/>
          </w:tcPr>
          <w:p>
            <w:pPr>
              <w:widowControl/>
              <w:adjustRightInd w:val="0"/>
              <w:spacing w:line="360" w:lineRule="auto"/>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最高限价（元）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17" w:type="pct"/>
            <w:shd w:val="clear" w:color="auto" w:fill="auto"/>
            <w:vAlign w:val="center"/>
          </w:tcPr>
          <w:p>
            <w:pPr>
              <w:widowControl/>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2004" w:type="pct"/>
            <w:shd w:val="clear" w:color="auto" w:fill="auto"/>
            <w:vAlign w:val="center"/>
          </w:tcPr>
          <w:p>
            <w:pPr>
              <w:widowControl/>
              <w:spacing w:line="276" w:lineRule="auto"/>
              <w:jc w:val="center"/>
              <w:textAlignment w:val="bottom"/>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深圳市公安局龙华分局2023年网络安全服务项目</w:t>
            </w:r>
          </w:p>
        </w:tc>
        <w:tc>
          <w:tcPr>
            <w:tcW w:w="403"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1</w:t>
            </w:r>
          </w:p>
        </w:tc>
        <w:tc>
          <w:tcPr>
            <w:tcW w:w="494" w:type="pct"/>
            <w:vAlign w:val="center"/>
          </w:tcPr>
          <w:p>
            <w:pPr>
              <w:spacing w:line="276" w:lineRule="auto"/>
              <w:jc w:val="center"/>
              <w:rPr>
                <w:rFonts w:cs="Arial" w:asciiTheme="minorEastAsia" w:hAnsiTheme="minorEastAsia" w:eastAsiaTheme="minorEastAsia"/>
                <w:sz w:val="24"/>
                <w:szCs w:val="24"/>
                <w:highlight w:val="none"/>
              </w:rPr>
            </w:pPr>
            <w:r>
              <w:rPr>
                <w:rFonts w:hint="eastAsia" w:cs="Arial" w:asciiTheme="minorEastAsia" w:hAnsiTheme="minorEastAsia" w:eastAsiaTheme="minorEastAsia"/>
                <w:sz w:val="24"/>
                <w:szCs w:val="24"/>
                <w:highlight w:val="none"/>
              </w:rPr>
              <w:t>项</w:t>
            </w:r>
          </w:p>
        </w:tc>
        <w:tc>
          <w:tcPr>
            <w:tcW w:w="956" w:type="pct"/>
            <w:vAlign w:val="center"/>
          </w:tcPr>
          <w:p>
            <w:pPr>
              <w:spacing w:line="276" w:lineRule="auto"/>
              <w:jc w:val="center"/>
              <w:rPr>
                <w:rFonts w:cs="宋体" w:asciiTheme="minorEastAsia" w:hAnsiTheme="minorEastAsia" w:eastAsiaTheme="minorEastAsia"/>
                <w:kern w:val="0"/>
                <w:sz w:val="24"/>
                <w:szCs w:val="24"/>
                <w:highlight w:val="none"/>
              </w:rPr>
            </w:pPr>
            <w:r>
              <w:rPr>
                <w:rFonts w:hint="eastAsia" w:asciiTheme="minorEastAsia" w:hAnsiTheme="minorEastAsia" w:eastAsiaTheme="minorEastAsia"/>
                <w:sz w:val="24"/>
                <w:szCs w:val="24"/>
                <w:highlight w:val="none"/>
              </w:rPr>
              <w:t>500,000.00</w:t>
            </w:r>
          </w:p>
        </w:tc>
        <w:tc>
          <w:tcPr>
            <w:tcW w:w="1341" w:type="dxa"/>
            <w:vAlign w:val="center"/>
          </w:tcPr>
          <w:p>
            <w:pPr>
              <w:spacing w:line="360" w:lineRule="auto"/>
              <w:jc w:val="center"/>
              <w:rPr>
                <w:rFonts w:asciiTheme="minorEastAsia" w:hAnsiTheme="minorEastAsia" w:eastAsiaTheme="minorEastAsia"/>
                <w:sz w:val="24"/>
                <w:szCs w:val="24"/>
                <w:highlight w:val="none"/>
              </w:rPr>
            </w:pPr>
            <w:r>
              <w:rPr>
                <w:rFonts w:hint="eastAsia" w:ascii="宋体" w:hAnsi="宋体" w:cs="宋体"/>
                <w:sz w:val="24"/>
                <w:highlight w:val="none"/>
              </w:rPr>
              <w:t>500,000.00</w:t>
            </w:r>
          </w:p>
        </w:tc>
      </w:tr>
    </w:tbl>
    <w:p>
      <w:pPr>
        <w:pStyle w:val="4"/>
        <w:spacing w:before="312" w:beforeLines="100" w:after="0"/>
        <w:rPr>
          <w:rFonts w:hAnsi="宋体"/>
        </w:rPr>
      </w:pPr>
      <w:bookmarkStart w:id="80" w:name="_Toc10520"/>
      <w:bookmarkStart w:id="81" w:name="_Toc22238"/>
      <w:bookmarkStart w:id="82" w:name="_Toc18370"/>
      <w:r>
        <w:rPr>
          <w:rFonts w:hint="eastAsia" w:hAnsi="宋体"/>
        </w:rPr>
        <w:t>二、服务要求</w:t>
      </w:r>
      <w:bookmarkEnd w:id="80"/>
      <w:bookmarkEnd w:id="81"/>
      <w:bookmarkEnd w:id="82"/>
    </w:p>
    <w:p>
      <w:pPr>
        <w:spacing w:line="360" w:lineRule="auto"/>
        <w:ind w:firstLine="566" w:firstLineChars="235"/>
        <w:rPr>
          <w:rFonts w:ascii="宋体" w:hAnsi="宋体" w:eastAsia="宋体" w:cs="宋体"/>
          <w:b/>
          <w:bCs/>
          <w:kern w:val="0"/>
          <w:sz w:val="24"/>
          <w:szCs w:val="24"/>
        </w:rPr>
      </w:pPr>
      <w:r>
        <w:rPr>
          <w:rFonts w:hint="eastAsia" w:ascii="宋体" w:hAnsi="宋体" w:eastAsia="宋体" w:cs="宋体"/>
          <w:b/>
          <w:bCs/>
          <w:kern w:val="0"/>
          <w:sz w:val="24"/>
          <w:szCs w:val="24"/>
        </w:rPr>
        <w:t>（一）服务范围简介</w:t>
      </w:r>
    </w:p>
    <w:p>
      <w:pPr>
        <w:spacing w:line="360" w:lineRule="auto"/>
        <w:ind w:firstLine="564" w:firstLineChars="235"/>
        <w:rPr>
          <w:rFonts w:ascii="宋体" w:hAnsi="宋体" w:eastAsia="宋体" w:cs="宋体"/>
          <w:bCs/>
          <w:kern w:val="0"/>
          <w:sz w:val="24"/>
          <w:szCs w:val="24"/>
        </w:rPr>
      </w:pPr>
      <w:r>
        <w:rPr>
          <w:rFonts w:hint="eastAsia" w:ascii="宋体" w:hAnsi="宋体" w:eastAsia="宋体" w:cs="宋体"/>
          <w:bCs/>
          <w:kern w:val="0"/>
          <w:sz w:val="24"/>
          <w:szCs w:val="24"/>
        </w:rPr>
        <w:t>为坚决贯彻落实市局网络安全责任制的有关要求，强化网络与数据安全保障工作，提升我局网络安全管控能力，切实加强单位内部安全防护能力，补齐短板，消除隐患。现拟通过引入第三方专业公司，开展网络安全服务。针对分局的业务系统做</w:t>
      </w:r>
      <w:r>
        <w:rPr>
          <w:rFonts w:hint="eastAsia" w:ascii="宋体" w:hAnsi="宋体" w:eastAsia="宋体" w:cs="宋体"/>
          <w:b w:val="0"/>
          <w:bCs/>
          <w:kern w:val="0"/>
          <w:sz w:val="24"/>
          <w:szCs w:val="24"/>
          <w:lang w:val="en-US" w:eastAsia="zh-CN"/>
        </w:rPr>
        <w:t>资产梳理、重要活动保障及联合检查、日常网络安全维护、应急响应服务、安全培训、安全漏洞扫描、渗透测试</w:t>
      </w:r>
      <w:r>
        <w:rPr>
          <w:rFonts w:hint="eastAsia" w:ascii="宋体" w:hAnsi="宋体" w:eastAsia="宋体" w:cs="宋体"/>
          <w:bCs/>
          <w:kern w:val="0"/>
          <w:sz w:val="24"/>
          <w:szCs w:val="24"/>
        </w:rPr>
        <w:t>等服务，同时对全警、技术人员开展培训工作。从根本上提高分局信息安全方面的整体能力，全面加强系统网络安全防护能力。</w:t>
      </w:r>
    </w:p>
    <w:p>
      <w:pPr>
        <w:spacing w:line="360" w:lineRule="auto"/>
        <w:ind w:firstLine="566" w:firstLineChars="235"/>
        <w:rPr>
          <w:rFonts w:ascii="宋体" w:hAnsi="宋体" w:eastAsia="宋体" w:cs="宋体"/>
          <w:b/>
          <w:bCs/>
          <w:kern w:val="0"/>
          <w:sz w:val="24"/>
          <w:szCs w:val="24"/>
        </w:rPr>
      </w:pPr>
    </w:p>
    <w:p>
      <w:pPr>
        <w:spacing w:line="360" w:lineRule="auto"/>
        <w:ind w:firstLine="566" w:firstLineChars="235"/>
        <w:rPr>
          <w:rFonts w:ascii="宋体" w:hAnsi="宋体" w:eastAsia="宋体" w:cs="宋体"/>
          <w:b/>
          <w:bCs/>
          <w:kern w:val="0"/>
          <w:sz w:val="24"/>
          <w:szCs w:val="24"/>
        </w:rPr>
      </w:pPr>
      <w:r>
        <w:rPr>
          <w:rFonts w:hint="eastAsia" w:ascii="宋体" w:hAnsi="宋体" w:eastAsia="宋体" w:cs="宋体"/>
          <w:b/>
          <w:bCs/>
          <w:kern w:val="0"/>
          <w:sz w:val="24"/>
          <w:szCs w:val="24"/>
        </w:rPr>
        <w:t>（二）检测对象</w:t>
      </w:r>
    </w:p>
    <w:p>
      <w:pPr>
        <w:spacing w:line="360" w:lineRule="auto"/>
        <w:ind w:firstLine="564" w:firstLineChars="235"/>
        <w:rPr>
          <w:rFonts w:ascii="宋体" w:hAnsi="宋体" w:eastAsia="宋体" w:cs="宋体"/>
          <w:bCs/>
          <w:kern w:val="0"/>
          <w:sz w:val="24"/>
          <w:szCs w:val="24"/>
          <w:lang w:val="zh-CN"/>
        </w:rPr>
      </w:pPr>
      <w:r>
        <w:rPr>
          <w:rFonts w:hint="eastAsia" w:ascii="宋体" w:hAnsi="宋体" w:eastAsia="宋体" w:cs="宋体"/>
          <w:bCs/>
          <w:kern w:val="0"/>
          <w:sz w:val="24"/>
          <w:szCs w:val="24"/>
          <w:lang w:val="zh-CN"/>
        </w:rPr>
        <w:t>我分局信息化资产，包括但不限于信息系统、服务器、数据网络设备和办公终端等。</w:t>
      </w:r>
    </w:p>
    <w:p>
      <w:pPr>
        <w:spacing w:line="360" w:lineRule="auto"/>
        <w:ind w:firstLine="564" w:firstLineChars="235"/>
        <w:rPr>
          <w:rFonts w:ascii="宋体" w:hAnsi="宋体" w:eastAsia="宋体" w:cs="宋体"/>
          <w:bCs/>
          <w:kern w:val="0"/>
          <w:sz w:val="24"/>
          <w:szCs w:val="24"/>
          <w:lang w:val="zh-CN"/>
        </w:rPr>
      </w:pPr>
    </w:p>
    <w:p>
      <w:pPr>
        <w:spacing w:line="360" w:lineRule="auto"/>
        <w:ind w:firstLine="566" w:firstLineChars="235"/>
        <w:rPr>
          <w:rFonts w:ascii="宋体" w:hAnsi="宋体" w:eastAsia="宋体" w:cs="宋体"/>
          <w:b/>
          <w:kern w:val="0"/>
          <w:sz w:val="24"/>
          <w:szCs w:val="24"/>
          <w:lang w:val="zh-CN"/>
        </w:rPr>
      </w:pPr>
      <w:r>
        <w:rPr>
          <w:rFonts w:hint="eastAsia" w:ascii="宋体" w:hAnsi="宋体" w:eastAsia="宋体" w:cs="宋体"/>
          <w:b/>
          <w:kern w:val="0"/>
          <w:sz w:val="24"/>
          <w:szCs w:val="24"/>
          <w:lang w:val="zh-CN"/>
        </w:rPr>
        <w:t>（三）检测目标</w:t>
      </w:r>
    </w:p>
    <w:p>
      <w:pPr>
        <w:spacing w:line="360" w:lineRule="auto"/>
        <w:ind w:firstLine="564" w:firstLineChars="235"/>
        <w:rPr>
          <w:rFonts w:ascii="宋体" w:hAnsi="宋体" w:eastAsia="宋体" w:cs="宋体"/>
          <w:bCs/>
          <w:kern w:val="0"/>
          <w:sz w:val="24"/>
          <w:szCs w:val="24"/>
          <w:lang w:val="zh-CN"/>
        </w:rPr>
      </w:pPr>
      <w:r>
        <w:rPr>
          <w:rFonts w:hint="eastAsia" w:ascii="宋体" w:hAnsi="宋体" w:eastAsia="宋体" w:cs="宋体"/>
          <w:bCs/>
          <w:kern w:val="0"/>
          <w:sz w:val="24"/>
          <w:szCs w:val="24"/>
          <w:lang w:val="zh-CN"/>
        </w:rPr>
        <w:t>一是进一步发现我分局信息资产的未知风险隐患，增强应对重大网络攻击等威胁风险的能力；二是进一步压实网安主体责任，以训促战，提高风险防范意识；三是进一步提升我分局网络安全防护水平，加固风险隐患监测发现、分析预警、应急处置能力。</w:t>
      </w:r>
    </w:p>
    <w:p>
      <w:pPr>
        <w:spacing w:line="360" w:lineRule="auto"/>
        <w:ind w:firstLine="640"/>
        <w:rPr>
          <w:rFonts w:ascii="宋体" w:hAnsi="宋体" w:eastAsia="宋体" w:cs="宋体"/>
          <w:sz w:val="24"/>
          <w:szCs w:val="24"/>
        </w:rPr>
      </w:pPr>
    </w:p>
    <w:p>
      <w:pPr>
        <w:spacing w:line="360" w:lineRule="auto"/>
        <w:ind w:firstLine="566" w:firstLineChars="235"/>
        <w:rPr>
          <w:rFonts w:ascii="宋体" w:hAnsi="宋体" w:eastAsia="宋体" w:cs="宋体"/>
          <w:b/>
          <w:kern w:val="0"/>
          <w:sz w:val="24"/>
          <w:szCs w:val="24"/>
        </w:rPr>
      </w:pPr>
      <w:r>
        <w:rPr>
          <w:rFonts w:hint="eastAsia" w:ascii="宋体" w:hAnsi="宋体" w:eastAsia="宋体" w:cs="宋体"/>
          <w:b/>
          <w:kern w:val="0"/>
          <w:sz w:val="24"/>
          <w:szCs w:val="24"/>
        </w:rPr>
        <w:t>（四）时间安排</w:t>
      </w:r>
    </w:p>
    <w:p>
      <w:pPr>
        <w:spacing w:line="360" w:lineRule="auto"/>
        <w:ind w:firstLine="564" w:firstLineChars="235"/>
        <w:rPr>
          <w:rFonts w:hint="eastAsia" w:ascii="宋体" w:hAnsi="宋体" w:eastAsia="宋体" w:cs="宋体"/>
          <w:bCs/>
          <w:kern w:val="0"/>
          <w:sz w:val="24"/>
          <w:szCs w:val="24"/>
          <w:lang w:val="zh-CN"/>
        </w:rPr>
      </w:pPr>
      <w:r>
        <w:rPr>
          <w:rFonts w:hint="eastAsia" w:ascii="宋体" w:hAnsi="宋体" w:eastAsia="宋体" w:cs="宋体"/>
          <w:bCs/>
          <w:kern w:val="0"/>
          <w:sz w:val="24"/>
          <w:szCs w:val="24"/>
          <w:lang w:val="zh-CN"/>
        </w:rPr>
        <w:t>自合同签订之日起至2024年7月31日。</w:t>
      </w:r>
    </w:p>
    <w:p>
      <w:pPr>
        <w:pStyle w:val="2"/>
        <w:rPr>
          <w:rFonts w:hint="eastAsia"/>
          <w:lang w:val="zh-CN"/>
        </w:rPr>
      </w:pPr>
    </w:p>
    <w:p>
      <w:pPr>
        <w:spacing w:line="360" w:lineRule="auto"/>
        <w:ind w:firstLine="566" w:firstLineChars="235"/>
        <w:rPr>
          <w:rFonts w:ascii="宋体" w:hAnsi="宋体" w:eastAsia="宋体" w:cs="宋体"/>
          <w:b/>
          <w:kern w:val="0"/>
          <w:sz w:val="24"/>
          <w:szCs w:val="24"/>
        </w:rPr>
      </w:pPr>
      <w:r>
        <w:rPr>
          <w:rFonts w:hint="eastAsia" w:ascii="宋体" w:hAnsi="宋体" w:eastAsia="宋体" w:cs="宋体"/>
          <w:b/>
          <w:kern w:val="0"/>
          <w:sz w:val="24"/>
          <w:szCs w:val="24"/>
        </w:rPr>
        <w:t>（五）检测内容</w:t>
      </w:r>
    </w:p>
    <w:p>
      <w:pPr>
        <w:spacing w:line="360" w:lineRule="auto"/>
        <w:ind w:firstLine="640"/>
        <w:rPr>
          <w:rFonts w:ascii="宋体" w:hAnsi="宋体" w:eastAsia="宋体" w:cs="宋体"/>
          <w:b/>
          <w:bCs/>
          <w:sz w:val="24"/>
          <w:szCs w:val="24"/>
        </w:rPr>
      </w:pPr>
      <w:r>
        <w:rPr>
          <w:rFonts w:hint="eastAsia" w:ascii="宋体" w:hAnsi="宋体" w:eastAsia="宋体" w:cs="宋体"/>
          <w:b/>
          <w:bCs/>
          <w:sz w:val="24"/>
          <w:szCs w:val="24"/>
        </w:rPr>
        <w:t>1.资产梳理</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通过技术手段及咨询手段协助龙华分局绘制准确完备的内网资产清单，包括但不限于主机（包含云主机）、中间件、网络设备、域名、接口、IP、端口、管理员等信息的梳理。</w:t>
      </w:r>
    </w:p>
    <w:p>
      <w:pPr>
        <w:spacing w:line="360" w:lineRule="auto"/>
        <w:ind w:firstLine="640"/>
        <w:rPr>
          <w:rFonts w:ascii="宋体" w:hAnsi="宋体" w:eastAsia="宋体" w:cs="宋体"/>
          <w:b/>
          <w:bCs/>
          <w:sz w:val="24"/>
          <w:szCs w:val="24"/>
        </w:rPr>
      </w:pPr>
      <w:r>
        <w:rPr>
          <w:rFonts w:hint="eastAsia" w:ascii="宋体" w:hAnsi="宋体" w:eastAsia="宋体" w:cs="宋体"/>
          <w:b/>
          <w:bCs/>
          <w:sz w:val="24"/>
          <w:szCs w:val="24"/>
        </w:rPr>
        <w:t>2.重要活动保障及联合检查</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提供重要时期7*24小时远程网络安全保障工作，包含值守前的工作方案制定、值守中的运维保障、值守后的总结等，防范网络安全风险、遏止网络安全事件，做好重要时期网络安全保障工作。</w:t>
      </w:r>
    </w:p>
    <w:p>
      <w:pPr>
        <w:spacing w:line="360" w:lineRule="auto"/>
        <w:ind w:firstLine="640"/>
        <w:rPr>
          <w:rFonts w:ascii="宋体" w:hAnsi="宋体" w:eastAsia="宋体" w:cs="宋体"/>
          <w:b/>
          <w:bCs/>
          <w:sz w:val="24"/>
          <w:szCs w:val="24"/>
        </w:rPr>
      </w:pPr>
      <w:r>
        <w:rPr>
          <w:rFonts w:hint="eastAsia" w:ascii="宋体" w:hAnsi="宋体" w:eastAsia="宋体" w:cs="宋体"/>
          <w:b/>
          <w:bCs/>
          <w:sz w:val="24"/>
          <w:szCs w:val="24"/>
        </w:rPr>
        <w:t>3.日常网络安全维护</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服务期内负责协助单位开展日常安全运维工作，定期总结汇报，等保、密评测评等工作配合。</w:t>
      </w:r>
    </w:p>
    <w:p>
      <w:pPr>
        <w:spacing w:line="360" w:lineRule="auto"/>
        <w:ind w:firstLine="640"/>
        <w:rPr>
          <w:rFonts w:ascii="宋体" w:hAnsi="宋体" w:eastAsia="宋体" w:cs="宋体"/>
          <w:b/>
          <w:bCs/>
          <w:sz w:val="24"/>
          <w:szCs w:val="24"/>
        </w:rPr>
      </w:pPr>
      <w:r>
        <w:rPr>
          <w:rFonts w:hint="eastAsia" w:ascii="宋体" w:hAnsi="宋体" w:eastAsia="宋体" w:cs="宋体"/>
          <w:b/>
          <w:bCs/>
          <w:sz w:val="24"/>
          <w:szCs w:val="24"/>
        </w:rPr>
        <w:t>4.应急响应服务</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根据《深圳市网络安全事件应急预案》的要求，我分局会同具备服务资质的第三方服务公司组成专业应急支撑队伍，当出现紧急情况时，应急支撑队伍将按照规定时间内提供故障响应、技术支持、事件处置等工作，快速处理相关故障，并将相关事件造成的不良影响降至最低。</w:t>
      </w:r>
    </w:p>
    <w:p>
      <w:pPr>
        <w:spacing w:line="360" w:lineRule="auto"/>
        <w:ind w:firstLine="640"/>
        <w:rPr>
          <w:rFonts w:ascii="宋体" w:hAnsi="宋体" w:eastAsia="宋体" w:cs="宋体"/>
          <w:b/>
          <w:bCs/>
          <w:sz w:val="24"/>
          <w:szCs w:val="24"/>
        </w:rPr>
      </w:pPr>
      <w:r>
        <w:rPr>
          <w:rFonts w:hint="eastAsia" w:ascii="宋体" w:hAnsi="宋体" w:eastAsia="宋体" w:cs="宋体"/>
          <w:b/>
          <w:bCs/>
          <w:sz w:val="24"/>
          <w:szCs w:val="24"/>
        </w:rPr>
        <w:t>5.安全培训</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根据不同的工作岗位安排有针对性的培训内容，</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1）管理人员主要包括：高层管理、业务专家等。</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培训目标：对管理人员的培训，目的是使他们了解国家相关部门对系统信息安全管理和建设的相关标准，同时建立起一套具有针对性和适用性的安全管理办法。</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2）技术人员主要包括：操作人员、维护人员等。</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培训目标：对技术人员的培训，目的是使他们了解信息系统所面临的严峻安全威胁和挑战，以及如何进行全面有效的安全防护措施。</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3）全员培训主要包括：安全意识培训等。</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培训目标：全体成员的培训，目的是让大家对信息安全的有初步的认识和逐步提高安全意识，让安全事故可以得到有效的避免。</w:t>
      </w:r>
    </w:p>
    <w:p>
      <w:pPr>
        <w:spacing w:line="360" w:lineRule="auto"/>
        <w:ind w:firstLine="640"/>
        <w:rPr>
          <w:rFonts w:ascii="宋体" w:hAnsi="宋体" w:eastAsia="宋体" w:cs="宋体"/>
          <w:b/>
          <w:bCs/>
          <w:sz w:val="24"/>
          <w:szCs w:val="24"/>
        </w:rPr>
      </w:pPr>
      <w:r>
        <w:rPr>
          <w:rFonts w:hint="eastAsia" w:ascii="宋体" w:hAnsi="宋体" w:eastAsia="宋体" w:cs="宋体"/>
          <w:b/>
          <w:bCs/>
          <w:sz w:val="24"/>
          <w:szCs w:val="24"/>
        </w:rPr>
        <w:t>6.安全漏洞扫描</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针对公安网应用系统、视频专网应用系统、互联网应用系统和服务器提供漏洞扫描服务，出具《漏洞扫描报告》。报告内容包含信息系统存在的安全漏洞及危害、扫描对象、扫描工具、扫描时间、漏洞分析（漏洞类型、漏洞所在页面、漏洞原理、漏洞利用、漏洞危害等）、加固修复建议、解决方案等。</w:t>
      </w:r>
    </w:p>
    <w:p>
      <w:pPr>
        <w:spacing w:line="360" w:lineRule="auto"/>
        <w:ind w:firstLine="640"/>
        <w:rPr>
          <w:rFonts w:ascii="宋体" w:hAnsi="宋体" w:eastAsia="宋体" w:cs="宋体"/>
          <w:b/>
          <w:bCs/>
          <w:sz w:val="24"/>
          <w:szCs w:val="24"/>
        </w:rPr>
      </w:pPr>
      <w:r>
        <w:rPr>
          <w:rFonts w:hint="eastAsia" w:ascii="宋体" w:hAnsi="宋体" w:eastAsia="宋体" w:cs="宋体"/>
          <w:b/>
          <w:bCs/>
          <w:sz w:val="24"/>
          <w:szCs w:val="24"/>
        </w:rPr>
        <w:t>7.渗透测试</w:t>
      </w:r>
    </w:p>
    <w:p>
      <w:pPr>
        <w:spacing w:line="360" w:lineRule="auto"/>
        <w:ind w:firstLine="640"/>
        <w:rPr>
          <w:rFonts w:ascii="宋体" w:hAnsi="宋体" w:eastAsia="宋体" w:cs="宋体"/>
          <w:sz w:val="24"/>
          <w:szCs w:val="24"/>
        </w:rPr>
      </w:pPr>
      <w:r>
        <w:rPr>
          <w:rFonts w:hint="eastAsia" w:ascii="宋体" w:hAnsi="宋体" w:eastAsia="宋体" w:cs="宋体"/>
          <w:sz w:val="24"/>
          <w:szCs w:val="24"/>
        </w:rPr>
        <w:t>针对公安网应用系统、视频专网应用系统、互联网应用系统和服务器，通过利用目标应用系统的安全弱点模拟真正的黑客入侵攻击方法，以人工渗透为主，以漏洞扫描工具为辅，在保证整个渗透测试过程都在可以控制和调整的范围之内尽可能的获取目标信息系统的管理权限以及敏感信息，从黑客角度发现问题。</w:t>
      </w:r>
    </w:p>
    <w:p>
      <w:pPr>
        <w:pStyle w:val="4"/>
        <w:spacing w:before="312" w:beforeLines="100" w:after="0"/>
        <w:rPr>
          <w:rFonts w:hAnsi="宋体"/>
        </w:rPr>
      </w:pPr>
      <w:bookmarkStart w:id="83" w:name="_Toc26471"/>
      <w:bookmarkStart w:id="84" w:name="_Toc67411751"/>
      <w:bookmarkStart w:id="85" w:name="_Toc12563"/>
      <w:bookmarkStart w:id="86" w:name="_Toc68769475"/>
      <w:bookmarkStart w:id="87" w:name="_Toc10406"/>
      <w:r>
        <w:rPr>
          <w:rFonts w:hint="eastAsia" w:hAnsi="宋体"/>
        </w:rPr>
        <w:t>三、商务要求</w:t>
      </w:r>
      <w:bookmarkEnd w:id="83"/>
    </w:p>
    <w:bookmarkEnd w:id="84"/>
    <w:bookmarkEnd w:id="85"/>
    <w:bookmarkEnd w:id="86"/>
    <w:bookmarkEnd w:id="87"/>
    <w:p>
      <w:pPr>
        <w:keepNext/>
        <w:widowControl/>
        <w:spacing w:line="360" w:lineRule="auto"/>
        <w:jc w:val="left"/>
        <w:outlineLvl w:val="3"/>
        <w:rPr>
          <w:rFonts w:ascii="宋体" w:hAnsi="宋体" w:eastAsia="宋体" w:cs="宋体"/>
          <w:b/>
          <w:bCs/>
          <w:kern w:val="0"/>
          <w:sz w:val="24"/>
          <w:szCs w:val="24"/>
        </w:rPr>
      </w:pPr>
      <w:r>
        <w:rPr>
          <w:rFonts w:hint="eastAsia" w:ascii="宋体" w:hAnsi="宋体" w:eastAsia="宋体" w:cs="宋体"/>
          <w:b/>
          <w:bCs/>
          <w:kern w:val="0"/>
          <w:sz w:val="24"/>
          <w:szCs w:val="24"/>
        </w:rPr>
        <w:t>（一）服务期限</w:t>
      </w:r>
    </w:p>
    <w:p>
      <w:pPr>
        <w:spacing w:line="360" w:lineRule="auto"/>
        <w:ind w:firstLine="480" w:firstLineChars="200"/>
        <w:rPr>
          <w:rFonts w:ascii="宋体" w:hAnsi="宋体" w:eastAsia="宋体" w:cs="宋体"/>
          <w:bCs/>
          <w:sz w:val="24"/>
          <w:szCs w:val="24"/>
        </w:rPr>
      </w:pPr>
      <w:r>
        <w:rPr>
          <w:rFonts w:hint="eastAsia" w:ascii="宋体" w:hAnsi="宋体" w:eastAsia="宋体" w:cs="宋体"/>
          <w:bCs/>
          <w:kern w:val="0"/>
          <w:sz w:val="24"/>
          <w:szCs w:val="24"/>
          <w:lang w:val="zh-CN"/>
        </w:rPr>
        <w:t>自合同签订之日起至2024年7月31日。</w:t>
      </w:r>
    </w:p>
    <w:p>
      <w:pPr>
        <w:autoSpaceDE w:val="0"/>
        <w:autoSpaceDN w:val="0"/>
        <w:adjustRightInd w:val="0"/>
        <w:rPr>
          <w:rFonts w:ascii="宋体" w:hAnsi="宋体" w:eastAsia="宋体" w:cs="宋体"/>
          <w:color w:val="000000"/>
          <w:sz w:val="24"/>
          <w:szCs w:val="24"/>
        </w:rPr>
      </w:pPr>
    </w:p>
    <w:p>
      <w:pPr>
        <w:keepNext/>
        <w:widowControl/>
        <w:spacing w:line="360" w:lineRule="auto"/>
        <w:jc w:val="left"/>
        <w:outlineLvl w:val="3"/>
        <w:rPr>
          <w:rFonts w:ascii="宋体" w:hAnsi="宋体" w:eastAsia="宋体" w:cs="宋体"/>
          <w:b/>
          <w:bCs/>
          <w:kern w:val="0"/>
          <w:sz w:val="24"/>
          <w:szCs w:val="24"/>
        </w:rPr>
      </w:pPr>
      <w:r>
        <w:rPr>
          <w:rFonts w:hint="eastAsia" w:ascii="宋体" w:hAnsi="宋体" w:eastAsia="宋体" w:cs="宋体"/>
          <w:b/>
          <w:bCs/>
          <w:kern w:val="0"/>
          <w:sz w:val="24"/>
          <w:szCs w:val="24"/>
        </w:rPr>
        <w:t>（二）服务地点</w:t>
      </w:r>
    </w:p>
    <w:p>
      <w:pPr>
        <w:spacing w:line="360" w:lineRule="auto"/>
        <w:ind w:firstLine="564" w:firstLineChars="235"/>
        <w:rPr>
          <w:rFonts w:ascii="宋体" w:hAnsi="宋体" w:eastAsia="宋体" w:cs="宋体"/>
          <w:bCs/>
          <w:sz w:val="24"/>
          <w:szCs w:val="24"/>
        </w:rPr>
      </w:pPr>
      <w:r>
        <w:rPr>
          <w:rFonts w:hint="eastAsia" w:ascii="宋体" w:hAnsi="宋体" w:eastAsia="宋体" w:cs="宋体"/>
          <w:bCs/>
          <w:sz w:val="24"/>
          <w:szCs w:val="24"/>
        </w:rPr>
        <w:t>深圳市公安局龙华分局及采购人指定地点。</w:t>
      </w:r>
    </w:p>
    <w:p>
      <w:pPr>
        <w:pStyle w:val="53"/>
        <w:rPr>
          <w:rFonts w:ascii="宋体" w:hAnsi="宋体" w:cs="宋体"/>
          <w:sz w:val="24"/>
          <w:szCs w:val="24"/>
        </w:rPr>
      </w:pPr>
    </w:p>
    <w:p>
      <w:pPr>
        <w:keepNext/>
        <w:widowControl/>
        <w:spacing w:line="360" w:lineRule="auto"/>
        <w:jc w:val="left"/>
        <w:outlineLvl w:val="3"/>
        <w:rPr>
          <w:rFonts w:ascii="宋体" w:hAnsi="宋体" w:eastAsia="宋体" w:cs="宋体"/>
          <w:b/>
          <w:bCs/>
          <w:kern w:val="0"/>
          <w:sz w:val="24"/>
          <w:szCs w:val="24"/>
        </w:rPr>
      </w:pPr>
      <w:r>
        <w:rPr>
          <w:rFonts w:hint="eastAsia" w:ascii="宋体" w:hAnsi="宋体" w:eastAsia="宋体" w:cs="宋体"/>
          <w:b/>
          <w:bCs/>
          <w:kern w:val="0"/>
          <w:sz w:val="24"/>
          <w:szCs w:val="24"/>
        </w:rPr>
        <w:t>（三）付款方式</w:t>
      </w:r>
    </w:p>
    <w:p>
      <w:pPr>
        <w:spacing w:line="440" w:lineRule="exact"/>
        <w:ind w:firstLine="480" w:firstLineChars="200"/>
        <w:rPr>
          <w:rFonts w:ascii="宋体" w:hAnsi="宋体" w:eastAsia="宋体" w:cs="宋体"/>
          <w:sz w:val="24"/>
          <w:szCs w:val="24"/>
        </w:rPr>
      </w:pPr>
      <w:r>
        <w:rPr>
          <w:rStyle w:val="47"/>
          <w:rFonts w:hint="eastAsia" w:ascii="宋体" w:hAnsi="宋体" w:eastAsia="宋体"/>
          <w:color w:val="000000"/>
          <w:sz w:val="24"/>
          <w:szCs w:val="24"/>
        </w:rPr>
        <w:t>按照采购人内部支付要求进行付款，具体以合同签订为准。</w:t>
      </w:r>
    </w:p>
    <w:p>
      <w:pPr>
        <w:spacing w:line="440" w:lineRule="exact"/>
        <w:ind w:firstLine="480" w:firstLineChars="200"/>
        <w:rPr>
          <w:rFonts w:ascii="宋体" w:hAnsi="宋体" w:eastAsia="宋体" w:cs="宋体"/>
          <w:sz w:val="24"/>
          <w:szCs w:val="24"/>
        </w:rPr>
      </w:pPr>
    </w:p>
    <w:p>
      <w:pPr>
        <w:keepNext/>
        <w:widowControl/>
        <w:spacing w:line="360" w:lineRule="auto"/>
        <w:jc w:val="left"/>
        <w:outlineLvl w:val="3"/>
        <w:rPr>
          <w:rFonts w:ascii="宋体" w:hAnsi="宋体" w:eastAsia="宋体" w:cs="宋体"/>
          <w:b/>
          <w:bCs/>
          <w:kern w:val="0"/>
          <w:sz w:val="24"/>
          <w:szCs w:val="24"/>
        </w:rPr>
      </w:pPr>
      <w:r>
        <w:rPr>
          <w:rFonts w:hint="eastAsia" w:ascii="宋体" w:hAnsi="宋体" w:eastAsia="宋体" w:cs="宋体"/>
          <w:b/>
          <w:bCs/>
          <w:kern w:val="0"/>
          <w:sz w:val="24"/>
          <w:szCs w:val="24"/>
        </w:rPr>
        <w:t>（四）服务成果要求</w:t>
      </w:r>
    </w:p>
    <w:p>
      <w:pPr>
        <w:spacing w:line="440" w:lineRule="exact"/>
        <w:ind w:firstLine="480" w:firstLineChars="200"/>
        <w:rPr>
          <w:rStyle w:val="47"/>
          <w:rFonts w:ascii="宋体" w:hAnsi="宋体" w:eastAsia="宋体"/>
          <w:color w:val="000000"/>
          <w:sz w:val="24"/>
          <w:szCs w:val="24"/>
        </w:rPr>
      </w:pPr>
      <w:r>
        <w:rPr>
          <w:rStyle w:val="47"/>
          <w:rFonts w:hint="eastAsia" w:ascii="宋体" w:hAnsi="宋体" w:eastAsia="宋体"/>
          <w:color w:val="000000"/>
          <w:sz w:val="24"/>
          <w:szCs w:val="24"/>
        </w:rPr>
        <w:t>《资产梳理清单》、《重要时期保障报告》、《网络安全周报》、《应急相应处置表》、《安全意识培训PPT》、《安全漏洞检测报告》、《渗透测试报告》。</w:t>
      </w:r>
    </w:p>
    <w:p>
      <w:pPr>
        <w:spacing w:line="360" w:lineRule="auto"/>
        <w:ind w:firstLine="480" w:firstLineChars="200"/>
        <w:rPr>
          <w:rFonts w:hint="eastAsia" w:ascii="宋体" w:hAnsi="宋体" w:eastAsia="宋体" w:cs="宋体"/>
          <w:kern w:val="0"/>
          <w:sz w:val="24"/>
          <w:szCs w:val="24"/>
        </w:rPr>
      </w:pPr>
    </w:p>
    <w:p>
      <w:pPr>
        <w:keepNext/>
        <w:widowControl/>
        <w:spacing w:line="360" w:lineRule="auto"/>
        <w:jc w:val="left"/>
        <w:outlineLvl w:val="3"/>
        <w:rPr>
          <w:rFonts w:ascii="宋体" w:hAnsi="宋体" w:eastAsia="宋体" w:cs="宋体"/>
          <w:b/>
          <w:bCs/>
          <w:kern w:val="0"/>
          <w:sz w:val="24"/>
          <w:szCs w:val="24"/>
        </w:rPr>
      </w:pPr>
      <w:r>
        <w:rPr>
          <w:rFonts w:hint="eastAsia" w:ascii="宋体" w:hAnsi="宋体" w:eastAsia="宋体" w:cs="宋体"/>
          <w:b/>
          <w:bCs/>
          <w:kern w:val="0"/>
          <w:sz w:val="24"/>
          <w:szCs w:val="24"/>
        </w:rPr>
        <w:t>（五）关于验收及违约责任</w:t>
      </w:r>
    </w:p>
    <w:p>
      <w:pPr>
        <w:spacing w:line="360" w:lineRule="auto"/>
        <w:ind w:firstLine="482" w:firstLineChars="200"/>
        <w:rPr>
          <w:rFonts w:ascii="宋体" w:hAnsi="宋体" w:eastAsia="宋体" w:cs="宋体"/>
          <w:kern w:val="0"/>
          <w:sz w:val="24"/>
          <w:szCs w:val="24"/>
        </w:rPr>
      </w:pPr>
      <w:bookmarkStart w:id="88" w:name="其它事项"/>
      <w:bookmarkEnd w:id="88"/>
      <w:r>
        <w:rPr>
          <w:rFonts w:hint="eastAsia" w:ascii="宋体" w:hAnsi="宋体" w:eastAsia="宋体" w:cs="宋体"/>
          <w:b/>
          <w:bCs/>
          <w:sz w:val="24"/>
          <w:szCs w:val="24"/>
        </w:rPr>
        <w:t>1.关于验收：</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1)服务经过双方检验认可后，签署验收报告。</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2)当满足以下条件时，采购人才向中标人签发验收报告：</w:t>
      </w:r>
    </w:p>
    <w:p>
      <w:pPr>
        <w:spacing w:line="360" w:lineRule="auto"/>
        <w:ind w:firstLine="849" w:firstLineChars="354"/>
        <w:rPr>
          <w:rFonts w:ascii="宋体" w:hAnsi="宋体" w:eastAsia="宋体" w:cs="宋体"/>
          <w:kern w:val="0"/>
          <w:sz w:val="24"/>
          <w:szCs w:val="24"/>
        </w:rPr>
      </w:pPr>
      <w:r>
        <w:rPr>
          <w:rFonts w:hint="eastAsia" w:ascii="宋体" w:hAnsi="宋体" w:eastAsia="宋体" w:cs="宋体"/>
          <w:kern w:val="0"/>
          <w:sz w:val="24"/>
          <w:szCs w:val="24"/>
        </w:rPr>
        <w:t>a、中标人已按照合同规定提供</w:t>
      </w:r>
      <w:r>
        <w:rPr>
          <w:rFonts w:hint="eastAsia" w:ascii="宋体" w:hAnsi="宋体" w:eastAsia="宋体" w:cs="宋体"/>
          <w:kern w:val="0"/>
          <w:sz w:val="24"/>
          <w:szCs w:val="24"/>
          <w:lang w:eastAsia="zh-CN"/>
        </w:rPr>
        <w:t>了</w:t>
      </w:r>
      <w:r>
        <w:rPr>
          <w:rFonts w:hint="eastAsia" w:ascii="宋体" w:hAnsi="宋体" w:eastAsia="宋体" w:cs="宋体"/>
          <w:kern w:val="0"/>
          <w:sz w:val="24"/>
          <w:szCs w:val="24"/>
          <w:lang w:val="en-US" w:eastAsia="zh-CN"/>
        </w:rPr>
        <w:t>全部技术服务资料</w:t>
      </w:r>
      <w:r>
        <w:rPr>
          <w:rFonts w:hint="eastAsia" w:ascii="宋体" w:hAnsi="宋体" w:eastAsia="宋体" w:cs="宋体"/>
          <w:kern w:val="0"/>
          <w:sz w:val="24"/>
          <w:szCs w:val="24"/>
        </w:rPr>
        <w:t>。</w:t>
      </w:r>
    </w:p>
    <w:p>
      <w:pPr>
        <w:spacing w:line="360" w:lineRule="auto"/>
        <w:ind w:firstLine="849" w:firstLineChars="354"/>
        <w:rPr>
          <w:rFonts w:ascii="宋体" w:hAnsi="宋体" w:eastAsia="宋体" w:cs="宋体"/>
          <w:kern w:val="0"/>
          <w:sz w:val="24"/>
          <w:szCs w:val="24"/>
        </w:rPr>
      </w:pPr>
      <w:r>
        <w:rPr>
          <w:rFonts w:hint="eastAsia" w:ascii="宋体" w:hAnsi="宋体" w:eastAsia="宋体" w:cs="宋体"/>
          <w:kern w:val="0"/>
          <w:sz w:val="24"/>
          <w:szCs w:val="24"/>
        </w:rPr>
        <w:t>b、服务项目符合招标文件的服务要求。</w:t>
      </w:r>
    </w:p>
    <w:p>
      <w:pPr>
        <w:spacing w:line="360" w:lineRule="auto"/>
        <w:ind w:firstLine="482" w:firstLineChars="200"/>
        <w:rPr>
          <w:rFonts w:ascii="宋体" w:hAnsi="宋体" w:eastAsia="宋体" w:cs="宋体"/>
          <w:kern w:val="0"/>
          <w:sz w:val="24"/>
          <w:szCs w:val="24"/>
        </w:rPr>
      </w:pPr>
      <w:r>
        <w:rPr>
          <w:rFonts w:hint="eastAsia" w:ascii="宋体" w:hAnsi="宋体" w:eastAsia="宋体" w:cs="宋体"/>
          <w:b/>
          <w:bCs/>
          <w:kern w:val="0"/>
          <w:sz w:val="24"/>
          <w:szCs w:val="24"/>
        </w:rPr>
        <w:t>2.违约责任：</w:t>
      </w:r>
      <w:r>
        <w:rPr>
          <w:rFonts w:hint="eastAsia" w:ascii="宋体" w:hAnsi="宋体" w:eastAsia="宋体" w:cs="宋体"/>
          <w:kern w:val="0"/>
          <w:sz w:val="24"/>
          <w:szCs w:val="24"/>
        </w:rPr>
        <w:t>项目验收过程中，如存在因维护方交付原因，未达到服务要求，视为违反合同约定，</w:t>
      </w:r>
      <w:r>
        <w:rPr>
          <w:rFonts w:hint="eastAsia" w:ascii="宋体" w:hAnsi="宋体" w:eastAsia="宋体" w:cs="宋体"/>
          <w:kern w:val="0"/>
          <w:sz w:val="24"/>
          <w:szCs w:val="24"/>
          <w:lang w:val="en-US" w:eastAsia="zh-CN"/>
        </w:rPr>
        <w:t>中标人</w:t>
      </w:r>
      <w:r>
        <w:rPr>
          <w:rFonts w:hint="eastAsia" w:ascii="宋体" w:hAnsi="宋体" w:eastAsia="宋体" w:cs="宋体"/>
          <w:kern w:val="0"/>
          <w:sz w:val="24"/>
          <w:szCs w:val="24"/>
        </w:rPr>
        <w:t>需要以延长服务期限等方式履行违约责任。具体延长时间由双方协商。</w:t>
      </w:r>
    </w:p>
    <w:p>
      <w:pPr>
        <w:spacing w:line="360" w:lineRule="auto"/>
        <w:ind w:firstLine="480" w:firstLineChars="200"/>
        <w:rPr>
          <w:rFonts w:ascii="宋体" w:hAnsi="宋体" w:eastAsia="宋体" w:cs="宋体"/>
          <w:kern w:val="0"/>
          <w:sz w:val="24"/>
          <w:szCs w:val="24"/>
        </w:rPr>
      </w:pPr>
    </w:p>
    <w:p>
      <w:pPr>
        <w:keepNext/>
        <w:widowControl/>
        <w:spacing w:line="360" w:lineRule="auto"/>
        <w:jc w:val="left"/>
        <w:outlineLvl w:val="3"/>
        <w:rPr>
          <w:rFonts w:ascii="宋体" w:hAnsi="宋体" w:eastAsia="宋体" w:cs="宋体"/>
          <w:b/>
          <w:bCs/>
          <w:kern w:val="0"/>
          <w:sz w:val="24"/>
          <w:szCs w:val="24"/>
        </w:rPr>
      </w:pPr>
      <w:r>
        <w:rPr>
          <w:rFonts w:hint="eastAsia" w:ascii="宋体" w:hAnsi="宋体" w:eastAsia="宋体" w:cs="宋体"/>
          <w:b/>
          <w:bCs/>
          <w:kern w:val="0"/>
          <w:sz w:val="24"/>
          <w:szCs w:val="24"/>
        </w:rPr>
        <w:t>（六）报价要求</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1.本项目价格采用包干制，报价包括但不限于投标费、设备费、保险费、技术培训费、设备安装费、调试费、人工费等服务成本、法定税费和企业的利润。如竞标文件中要求分项报价而中标人未单独列明的分项价格，将被视为该费用已包含在其他分项中。由投标人根据招标需求自行测算投标报价；一经中标，投标报价即作为中标单位与采购人签订的合同金额。</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3.投标人应充分了解项目的位置、情况、道路及任何其它足以影响投标报价的情况，任何因忽视或误解项目情况而导致的索赔或服务期限延长申请将不获批准。</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4.投标人不得期望通过索赔等方式获取补偿，否则，除可能遭到拒绝外，还可能将被作为不良行为记录在案，并可能影响其以后参加政府采购的项目投标。各投标人在投标报价时，应充分考虑投标报价的风险。</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5.本项目预算控制金额：人民币伍拾万元整（¥500,000.00元），投标报价超过预算控制金额的视为无效投标。</w:t>
      </w:r>
    </w:p>
    <w:p>
      <w:pPr>
        <w:numPr>
          <w:ilvl w:val="255"/>
          <w:numId w:val="0"/>
        </w:numPr>
        <w:spacing w:line="360" w:lineRule="auto"/>
        <w:ind w:firstLine="480" w:firstLineChars="200"/>
        <w:rPr>
          <w:rFonts w:ascii="宋体" w:hAnsi="宋体" w:eastAsia="宋体" w:cs="宋体"/>
          <w:sz w:val="24"/>
          <w:szCs w:val="24"/>
        </w:rPr>
      </w:pPr>
    </w:p>
    <w:p>
      <w:pPr>
        <w:pStyle w:val="3"/>
        <w:numPr>
          <w:ilvl w:val="255"/>
          <w:numId w:val="0"/>
        </w:numPr>
        <w:rPr>
          <w:rFonts w:ascii="宋体" w:hAnsi="宋体"/>
          <w:sz w:val="44"/>
          <w:szCs w:val="32"/>
        </w:rPr>
      </w:pPr>
      <w:r>
        <w:rPr>
          <w:rFonts w:hint="eastAsia" w:ascii="宋体" w:hAnsi="宋体"/>
          <w:kern w:val="2"/>
          <w:szCs w:val="24"/>
        </w:rPr>
        <w:br w:type="page"/>
      </w:r>
      <w:bookmarkEnd w:id="76"/>
      <w:bookmarkEnd w:id="77"/>
      <w:bookmarkEnd w:id="78"/>
      <w:bookmarkEnd w:id="79"/>
      <w:bookmarkStart w:id="89" w:name="_Toc68769476"/>
      <w:bookmarkStart w:id="90" w:name="_Toc21367"/>
      <w:bookmarkStart w:id="91" w:name="_Toc12815"/>
      <w:bookmarkStart w:id="92" w:name="_Toc23123"/>
      <w:r>
        <w:rPr>
          <w:rFonts w:hint="eastAsia" w:ascii="宋体" w:hAnsi="宋体"/>
          <w:sz w:val="44"/>
          <w:szCs w:val="32"/>
        </w:rPr>
        <w:t>第三章  竞标应答文件</w:t>
      </w:r>
      <w:bookmarkEnd w:id="89"/>
      <w:r>
        <w:rPr>
          <w:rFonts w:hint="eastAsia" w:ascii="宋体" w:hAnsi="宋体"/>
          <w:sz w:val="44"/>
          <w:szCs w:val="32"/>
        </w:rPr>
        <w:t>（格式）</w:t>
      </w:r>
      <w:bookmarkEnd w:id="90"/>
      <w:bookmarkEnd w:id="91"/>
      <w:bookmarkEnd w:id="92"/>
    </w:p>
    <w:p>
      <w:pPr>
        <w:jc w:val="center"/>
        <w:rPr>
          <w:rFonts w:ascii="宋体" w:hAnsi="宋体" w:cs="Arial"/>
          <w:b/>
          <w:bCs/>
          <w:sz w:val="52"/>
          <w:szCs w:val="52"/>
        </w:rPr>
      </w:pPr>
    </w:p>
    <w:p>
      <w:pPr>
        <w:jc w:val="center"/>
        <w:rPr>
          <w:rFonts w:ascii="宋体" w:hAnsi="宋体" w:eastAsia="宋体" w:cs="Arial"/>
          <w:b/>
          <w:bCs/>
          <w:sz w:val="52"/>
          <w:szCs w:val="52"/>
        </w:rPr>
      </w:pPr>
    </w:p>
    <w:p>
      <w:pPr>
        <w:jc w:val="center"/>
        <w:rPr>
          <w:rFonts w:ascii="宋体" w:hAnsi="宋体" w:eastAsia="宋体" w:cs="Arial"/>
          <w:b/>
          <w:bCs/>
          <w:sz w:val="72"/>
          <w:szCs w:val="52"/>
        </w:rPr>
      </w:pPr>
      <w:r>
        <w:rPr>
          <w:rFonts w:hint="eastAsia" w:ascii="宋体" w:hAnsi="宋体" w:eastAsia="宋体" w:cs="Arial"/>
          <w:b/>
          <w:bCs/>
          <w:sz w:val="72"/>
          <w:szCs w:val="52"/>
        </w:rPr>
        <w:t>竞标应答文件</w:t>
      </w: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spacing w:line="360" w:lineRule="auto"/>
        <w:jc w:val="center"/>
        <w:rPr>
          <w:rFonts w:ascii="宋体" w:hAnsi="宋体" w:eastAsia="宋体" w:cs="Arial"/>
          <w:b/>
          <w:bCs/>
          <w:sz w:val="28"/>
          <w:szCs w:val="28"/>
        </w:rPr>
      </w:pP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项目名称：</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项目编号：</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投标单位：</w:t>
      </w:r>
      <w:r>
        <w:rPr>
          <w:rFonts w:hint="eastAsia" w:ascii="宋体" w:hAnsi="宋体" w:eastAsia="宋体" w:cs="Arial"/>
          <w:b/>
          <w:bCs/>
          <w:sz w:val="28"/>
          <w:szCs w:val="28"/>
          <w:u w:val="single"/>
        </w:rPr>
        <w:t xml:space="preserve">                   （加盖公章）</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单位地址：</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法定代表人</w:t>
      </w:r>
      <w:r>
        <w:rPr>
          <w:rFonts w:ascii="宋体" w:hAnsi="宋体" w:eastAsia="宋体" w:cs="Arial"/>
          <w:b/>
          <w:bCs/>
          <w:sz w:val="28"/>
          <w:szCs w:val="28"/>
        </w:rPr>
        <w:t>/</w:t>
      </w:r>
      <w:r>
        <w:rPr>
          <w:rFonts w:hint="eastAsia" w:ascii="宋体" w:hAnsi="宋体" w:eastAsia="宋体" w:cs="Arial"/>
          <w:b/>
          <w:bCs/>
          <w:sz w:val="28"/>
          <w:szCs w:val="28"/>
        </w:rPr>
        <w:t>被授权人：</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联系电话：</w:t>
      </w:r>
    </w:p>
    <w:p>
      <w:pPr>
        <w:spacing w:line="360" w:lineRule="auto"/>
        <w:rPr>
          <w:rFonts w:ascii="宋体" w:hAnsi="宋体" w:eastAsia="宋体" w:cs="Arial"/>
          <w:b/>
          <w:bCs/>
          <w:sz w:val="28"/>
          <w:szCs w:val="28"/>
          <w:u w:val="single"/>
        </w:rPr>
      </w:pPr>
    </w:p>
    <w:p>
      <w:pPr>
        <w:spacing w:line="360" w:lineRule="auto"/>
        <w:rPr>
          <w:rFonts w:ascii="宋体" w:cs="Arial"/>
          <w:b/>
          <w:bCs/>
          <w:sz w:val="28"/>
          <w:szCs w:val="28"/>
        </w:rPr>
      </w:pPr>
    </w:p>
    <w:p/>
    <w:p>
      <w:pPr>
        <w:widowControl/>
        <w:jc w:val="center"/>
        <w:rPr>
          <w:rFonts w:ascii="宋体" w:hAnsi="宋体"/>
          <w:b/>
          <w:sz w:val="30"/>
          <w:szCs w:val="30"/>
        </w:rPr>
      </w:pPr>
      <w:r>
        <w:rPr>
          <w:rFonts w:ascii="宋体" w:hAnsi="宋体"/>
          <w:b/>
          <w:sz w:val="30"/>
          <w:szCs w:val="30"/>
        </w:rPr>
        <w:br w:type="page"/>
      </w:r>
    </w:p>
    <w:p>
      <w:pPr>
        <w:pStyle w:val="4"/>
        <w:rPr>
          <w:rStyle w:val="42"/>
          <w:b/>
          <w:bCs/>
        </w:rPr>
      </w:pPr>
      <w:bookmarkStart w:id="93" w:name="_Toc9803"/>
      <w:bookmarkStart w:id="94" w:name="_Toc15085"/>
      <w:bookmarkStart w:id="95" w:name="_Toc489"/>
      <w:r>
        <w:rPr>
          <w:rStyle w:val="42"/>
          <w:rFonts w:hint="eastAsia"/>
          <w:b/>
          <w:bCs/>
        </w:rPr>
        <w:t>一、资格性、符合性审查表</w:t>
      </w:r>
      <w:bookmarkEnd w:id="93"/>
      <w:bookmarkEnd w:id="94"/>
      <w:bookmarkEnd w:id="95"/>
    </w:p>
    <w:p>
      <w:pPr>
        <w:spacing w:before="312" w:beforeLines="100"/>
        <w:jc w:val="center"/>
        <w:rPr>
          <w:rFonts w:ascii="宋体" w:hAnsi="宋体" w:eastAsia="宋体"/>
          <w:b/>
          <w:sz w:val="24"/>
        </w:rPr>
      </w:pPr>
      <w:r>
        <w:rPr>
          <w:rFonts w:hint="eastAsia" w:ascii="宋体" w:hAnsi="宋体" w:eastAsia="宋体"/>
          <w:b/>
          <w:sz w:val="24"/>
        </w:rPr>
        <w:t>资格性审查表</w:t>
      </w:r>
    </w:p>
    <w:tbl>
      <w:tblPr>
        <w:tblStyle w:val="30"/>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61"/>
        <w:gridCol w:w="7423"/>
        <w:gridCol w:w="10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须为在中华人民共和国境内注册，能够独立承担民事责任的本国供应商，</w:t>
            </w:r>
            <w:r>
              <w:rPr>
                <w:rFonts w:hint="eastAsia" w:ascii="宋体" w:hAnsi="宋体" w:eastAsia="宋体" w:cs="宋体"/>
                <w:b/>
                <w:bCs/>
                <w:sz w:val="24"/>
                <w:szCs w:val="24"/>
              </w:rPr>
              <w:t>且须为采购人推荐的供应商</w:t>
            </w:r>
            <w:r>
              <w:rPr>
                <w:rFonts w:hint="eastAsia" w:ascii="宋体" w:hAnsi="宋体" w:eastAsia="宋体" w:cs="宋体"/>
                <w:sz w:val="24"/>
                <w:szCs w:val="24"/>
              </w:rPr>
              <w:t>（提供合法有效的营业执照扫描件或法人登记证扫描件加盖投标人公章,原件备查）；</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cs="宋体"/>
                <w:sz w:val="24"/>
                <w:szCs w:val="24"/>
              </w:rPr>
              <w:t>投标人近三年内（即从2020年01月开始起算，供应商成立不足三年的可从成立之日起算）无行贿犯罪记录（由供应商在《承诺函》中作出声明）；中国裁判文书网(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)为查询渠道，相关信息以采购代理机构开标当日的查询结果为准；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pPr>
              <w:spacing w:line="336" w:lineRule="auto"/>
              <w:rPr>
                <w:rFonts w:ascii="宋体" w:hAnsi="宋体" w:eastAsia="宋体" w:cs="宋体"/>
                <w:sz w:val="24"/>
                <w:szCs w:val="24"/>
              </w:rPr>
            </w:pPr>
            <w:r>
              <w:rPr>
                <w:rFonts w:hint="eastAsia" w:ascii="宋体" w:hAnsi="宋体" w:eastAsia="宋体" w:cs="宋体"/>
                <w:sz w:val="24"/>
                <w:szCs w:val="24"/>
              </w:rPr>
              <w:t>未被列入失信被执行人、重大税收违法案件当事人名单、政府采购严重违法失信行为记录名单（由供应商在《承诺函》中作出声明）；</w:t>
            </w:r>
          </w:p>
          <w:p>
            <w:pPr>
              <w:spacing w:line="336" w:lineRule="auto"/>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sz w:val="24"/>
                <w:szCs w:val="24"/>
              </w:rPr>
            </w:pPr>
            <w:r>
              <w:rPr>
                <w:rFonts w:hint="eastAsia" w:ascii="宋体" w:hAnsi="宋体" w:eastAsia="宋体" w:cs="宋体"/>
                <w:sz w:val="24"/>
                <w:szCs w:val="24"/>
              </w:rPr>
              <w:t>依据《中华人民共和国政府采购法实施条例》第十八条规定，单位负责人为同一人或者存在直接控股、管理关系的不同供应商，不得参加同一合同项下的政府采购活动（由供应商在《承诺函》中作出声明）；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本项目不接受联合体投标，不允许转包分包（由供应商在《承诺函》中作出声明）。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jc w:val="left"/>
        <w:rPr>
          <w:rFonts w:ascii="宋体" w:hAnsi="宋体" w:eastAsia="宋体"/>
          <w:b/>
          <w:sz w:val="24"/>
        </w:rPr>
      </w:pPr>
      <w:r>
        <w:rPr>
          <w:rFonts w:hint="eastAsia" w:ascii="宋体" w:hAnsi="宋体" w:eastAsia="宋体"/>
          <w:b/>
          <w:sz w:val="24"/>
        </w:rPr>
        <w:br w:type="page"/>
      </w:r>
    </w:p>
    <w:p>
      <w:pPr>
        <w:spacing w:before="312" w:beforeLines="100"/>
        <w:jc w:val="center"/>
        <w:rPr>
          <w:rFonts w:ascii="宋体" w:hAnsi="宋体" w:eastAsia="宋体"/>
          <w:b/>
          <w:sz w:val="24"/>
        </w:rPr>
      </w:pPr>
      <w:r>
        <w:rPr>
          <w:rFonts w:hint="eastAsia" w:ascii="宋体" w:hAnsi="宋体" w:eastAsia="宋体"/>
          <w:b/>
          <w:sz w:val="24"/>
        </w:rPr>
        <w:t>符合性审查表</w:t>
      </w:r>
    </w:p>
    <w:tbl>
      <w:tblPr>
        <w:tblStyle w:val="30"/>
        <w:tblW w:w="5144"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4"/>
        <w:gridCol w:w="7419"/>
        <w:gridCol w:w="12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3911"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663"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说明</w:t>
            </w:r>
          </w:p>
          <w:p>
            <w:pPr>
              <w:spacing w:line="276" w:lineRule="auto"/>
              <w:jc w:val="center"/>
              <w:rPr>
                <w:rFonts w:ascii="宋体" w:hAnsi="宋体" w:eastAsia="宋体"/>
                <w:sz w:val="24"/>
                <w:szCs w:val="24"/>
              </w:rPr>
            </w:pPr>
            <w:r>
              <w:rPr>
                <w:rFonts w:hint="eastAsia" w:ascii="宋体" w:hAnsi="宋体" w:eastAsia="宋体"/>
                <w:sz w:val="24"/>
                <w:szCs w:val="24"/>
              </w:rPr>
              <w:t>（通过/不通过）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jc w:val="left"/>
              <w:rPr>
                <w:rFonts w:ascii="宋体" w:hAnsi="宋体" w:eastAsia="宋体"/>
                <w:sz w:val="24"/>
                <w:szCs w:val="24"/>
              </w:rPr>
            </w:pPr>
            <w:r>
              <w:rPr>
                <w:rFonts w:hint="eastAsia" w:ascii="宋体" w:hAnsi="宋体" w:eastAsia="宋体" w:cs="宋体"/>
                <w:kern w:val="0"/>
                <w:sz w:val="24"/>
                <w:szCs w:val="24"/>
              </w:rPr>
              <w:t>报价总价超过项目中的预算金额，或者报价单价超过项目对应的单项预算。</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2</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pPr>
            <w:r>
              <w:rPr>
                <w:rFonts w:hint="eastAsia" w:ascii="宋体" w:hAnsi="宋体" w:eastAsia="宋体" w:cs="宋体"/>
                <w:kern w:val="0"/>
                <w:sz w:val="24"/>
                <w:szCs w:val="24"/>
              </w:rPr>
              <w:t>供应商响应的服务要求不符合本项目竞标采购需求明细中约定的服务要求。</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3</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供应商响应的商务要求不符合本项目竞标采购需求明细中约定的商务要求。</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4</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供应商应答文件中分项报价之和与竞标总价不一致时，其修正后的分项报价之和大于其报价总价的。</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5</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供应商应答文件未按竞标应答文件格式规定内容、格式提交或填写不完整。</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6</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有法律、法规规定的其他无效情形。</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pStyle w:val="44"/>
        <w:spacing w:line="360" w:lineRule="auto"/>
        <w:ind w:firstLine="0" w:firstLineChars="0"/>
        <w:rPr>
          <w:rFonts w:ascii="宋体" w:hAnsi="宋体"/>
          <w:b/>
          <w:sz w:val="28"/>
        </w:rPr>
      </w:pPr>
    </w:p>
    <w:p>
      <w:pPr>
        <w:pStyle w:val="44"/>
        <w:spacing w:line="360" w:lineRule="auto"/>
        <w:ind w:firstLine="0" w:firstLineChars="0"/>
        <w:jc w:val="center"/>
        <w:rPr>
          <w:rFonts w:ascii="宋体" w:hAnsi="宋体"/>
          <w:b/>
          <w:sz w:val="28"/>
        </w:rPr>
      </w:pPr>
      <w:r>
        <w:rPr>
          <w:rFonts w:ascii="宋体" w:hAnsi="宋体"/>
          <w:b/>
          <w:sz w:val="28"/>
        </w:rPr>
        <w:br w:type="page"/>
      </w:r>
    </w:p>
    <w:p>
      <w:pPr>
        <w:pStyle w:val="4"/>
        <w:rPr>
          <w:rFonts w:ascii="宋体" w:hAnsi="宋体"/>
          <w:sz w:val="28"/>
        </w:rPr>
      </w:pPr>
      <w:bookmarkStart w:id="96" w:name="_Toc8259"/>
      <w:bookmarkStart w:id="97" w:name="_Toc12165"/>
      <w:bookmarkStart w:id="98" w:name="_Toc24111"/>
      <w:r>
        <w:rPr>
          <w:rStyle w:val="42"/>
          <w:rFonts w:hint="eastAsia"/>
          <w:b/>
          <w:bCs/>
        </w:rPr>
        <w:t>二、承诺函</w:t>
      </w:r>
      <w:bookmarkEnd w:id="96"/>
      <w:bookmarkEnd w:id="97"/>
      <w:bookmarkEnd w:id="98"/>
    </w:p>
    <w:p>
      <w:pPr>
        <w:spacing w:line="500" w:lineRule="exact"/>
        <w:ind w:left="480"/>
        <w:jc w:val="center"/>
        <w:rPr>
          <w:color w:val="FF0000"/>
          <w:sz w:val="28"/>
          <w:szCs w:val="24"/>
        </w:rPr>
      </w:pPr>
    </w:p>
    <w:p>
      <w:pPr>
        <w:spacing w:line="500" w:lineRule="exact"/>
        <w:rPr>
          <w:rFonts w:ascii="宋体" w:hAnsi="宋体" w:eastAsia="宋体"/>
          <w:sz w:val="28"/>
          <w:szCs w:val="24"/>
        </w:rPr>
      </w:pPr>
      <w:r>
        <w:rPr>
          <w:rFonts w:hint="eastAsia" w:ascii="宋体" w:hAnsi="宋体" w:eastAsia="宋体"/>
          <w:sz w:val="28"/>
          <w:szCs w:val="24"/>
        </w:rPr>
        <w:t>致：深圳市公安局龙华分局</w:t>
      </w:r>
    </w:p>
    <w:p>
      <w:pPr>
        <w:widowControl/>
        <w:spacing w:line="500" w:lineRule="exact"/>
        <w:ind w:firstLine="560" w:firstLineChars="200"/>
        <w:jc w:val="left"/>
        <w:rPr>
          <w:rFonts w:ascii="宋体" w:hAnsi="宋体" w:eastAsia="宋体"/>
          <w:sz w:val="28"/>
          <w:szCs w:val="24"/>
        </w:rPr>
      </w:pPr>
      <w:r>
        <w:rPr>
          <w:rFonts w:ascii="宋体" w:hAnsi="宋体" w:eastAsia="宋体"/>
          <w:sz w:val="28"/>
          <w:szCs w:val="24"/>
        </w:rPr>
        <w:t>我公司</w:t>
      </w:r>
      <w:r>
        <w:rPr>
          <w:rFonts w:hint="eastAsia" w:ascii="宋体" w:hAnsi="宋体" w:eastAsia="宋体"/>
          <w:sz w:val="28"/>
          <w:szCs w:val="24"/>
        </w:rPr>
        <w:t>申请参加编号为</w:t>
      </w:r>
      <w:r>
        <w:rPr>
          <w:rFonts w:hint="eastAsia" w:ascii="宋体" w:hAnsi="宋体" w:eastAsia="宋体" w:cs="宋体"/>
          <w:kern w:val="0"/>
          <w:sz w:val="28"/>
          <w:szCs w:val="24"/>
          <w:u w:val="single"/>
        </w:rPr>
        <w:t>ZJGJ-GDS-FWZB03-20230610</w:t>
      </w:r>
      <w:r>
        <w:rPr>
          <w:rFonts w:hint="eastAsia" w:ascii="宋体" w:hAnsi="宋体" w:eastAsia="宋体"/>
          <w:sz w:val="28"/>
          <w:szCs w:val="24"/>
        </w:rPr>
        <w:t>的项目竞标，并作出如下承诺：</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1、我公司已经详细研究并完全接受本次网上竞标项目的所有内容（包括邀请竞标公告、竞标采购需求明细及竞标应答文件格式等），并承诺我公司本次投标能完全响应竞标要求。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2、我公司具备邀请竞标公告中要求的供应商资格及要求。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3、我公司承诺近三年内无行贿犯罪记录。我公司参与本项目政府采购活动时不存在被有关部门禁止参与政府采购活动且在有效期内的情况。</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4、我公司承诺具备《中华人民共和国政府采购法》第二十二条第一款规定的条件。</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5、我公司未被列入失信被执行人、重大税收违法案件当事人名单、政府采购严重违法失信行为记录名单。</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6、我公司不以联合体投标，不转包分包。</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7、我公司承诺依据《中华人民共和国政府采购法实施条例》第十八条规定，单位负责人为同一人或者存在直接控股、管理关系的不同供应商，不参加同一合同项下的政府采购活动。</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8、我公司保证对本竞标项目所提供的货物、服务未侵犯知识产权；保证在本项目竞标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9、我公司如果成交，将保证履行本竞标项目中的所有要求（包括邀请竞标公告、竞标采购需求明细及竞标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特此承诺！</w:t>
      </w:r>
    </w:p>
    <w:p>
      <w:pPr>
        <w:spacing w:line="500" w:lineRule="exact"/>
        <w:ind w:firstLine="560" w:firstLineChars="200"/>
        <w:rPr>
          <w:rFonts w:ascii="宋体" w:hAnsi="宋体" w:eastAsia="宋体"/>
          <w:sz w:val="28"/>
          <w:szCs w:val="24"/>
        </w:rPr>
      </w:pPr>
    </w:p>
    <w:p>
      <w:pPr>
        <w:snapToGrid w:val="0"/>
        <w:spacing w:line="500" w:lineRule="exact"/>
        <w:ind w:firstLine="4676" w:firstLineChars="1670"/>
        <w:rPr>
          <w:rFonts w:ascii="宋体" w:hAnsi="宋体" w:eastAsia="宋体"/>
          <w:sz w:val="28"/>
          <w:szCs w:val="24"/>
        </w:rPr>
      </w:pPr>
      <w:r>
        <w:rPr>
          <w:rFonts w:hint="eastAsia" w:ascii="宋体" w:hAnsi="宋体" w:eastAsia="宋体"/>
          <w:sz w:val="28"/>
          <w:szCs w:val="24"/>
        </w:rPr>
        <w:t xml:space="preserve">供应商（盖章）： </w:t>
      </w:r>
    </w:p>
    <w:p>
      <w:pPr>
        <w:snapToGrid w:val="0"/>
        <w:spacing w:line="500" w:lineRule="exact"/>
        <w:ind w:firstLine="4676" w:firstLineChars="1670"/>
        <w:rPr>
          <w:rFonts w:ascii="宋体" w:hAnsi="宋体" w:eastAsia="宋体" w:cs="Arial"/>
          <w:bCs/>
          <w:sz w:val="28"/>
          <w:szCs w:val="24"/>
        </w:rPr>
      </w:pPr>
      <w:r>
        <w:rPr>
          <w:rFonts w:hint="eastAsia" w:ascii="宋体" w:hAnsi="宋体" w:eastAsia="宋体" w:cs="Arial"/>
          <w:bCs/>
          <w:sz w:val="28"/>
          <w:szCs w:val="24"/>
        </w:rPr>
        <w:t>日  期：       年    月   日</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42"/>
          <w:b/>
          <w:bCs/>
        </w:rPr>
      </w:pPr>
      <w:bookmarkStart w:id="99" w:name="_Toc17987"/>
      <w:bookmarkStart w:id="100" w:name="_Toc1322"/>
      <w:bookmarkStart w:id="101" w:name="_Toc14725"/>
      <w:r>
        <w:rPr>
          <w:rStyle w:val="42"/>
          <w:rFonts w:hint="eastAsia"/>
          <w:b/>
          <w:bCs/>
        </w:rPr>
        <w:t>三、法定代表人资格证明书</w:t>
      </w:r>
      <w:bookmarkEnd w:id="99"/>
      <w:bookmarkEnd w:id="100"/>
      <w:bookmarkEnd w:id="101"/>
    </w:p>
    <w:p>
      <w:pPr>
        <w:spacing w:line="360" w:lineRule="auto"/>
        <w:jc w:val="left"/>
        <w:rPr>
          <w:rFonts w:ascii="宋体" w:hAnsi="宋体" w:eastAsia="宋体" w:cs="宋体"/>
          <w:sz w:val="28"/>
          <w:szCs w:val="28"/>
        </w:rPr>
      </w:pPr>
      <w:r>
        <w:rPr>
          <w:rFonts w:hint="eastAsia" w:ascii="宋体" w:hAnsi="宋体" w:eastAsia="宋体" w:cs="宋体"/>
          <w:sz w:val="28"/>
          <w:szCs w:val="28"/>
        </w:rPr>
        <w:t>投标人名称：</w:t>
      </w:r>
    </w:p>
    <w:p>
      <w:pPr>
        <w:spacing w:line="360" w:lineRule="auto"/>
        <w:jc w:val="left"/>
        <w:rPr>
          <w:rFonts w:ascii="宋体" w:hAnsi="宋体" w:eastAsia="宋体" w:cs="宋体"/>
          <w:sz w:val="28"/>
          <w:szCs w:val="28"/>
          <w:u w:val="single"/>
        </w:rPr>
      </w:pPr>
      <w:r>
        <w:rPr>
          <w:rFonts w:hint="eastAsia" w:ascii="宋体" w:hAnsi="宋体" w:eastAsia="宋体" w:cs="宋体"/>
          <w:sz w:val="28"/>
          <w:szCs w:val="28"/>
        </w:rPr>
        <w:t>单位性质：</w:t>
      </w:r>
    </w:p>
    <w:p>
      <w:pPr>
        <w:spacing w:line="360" w:lineRule="auto"/>
        <w:jc w:val="left"/>
        <w:rPr>
          <w:rFonts w:ascii="宋体" w:hAnsi="宋体" w:eastAsia="宋体" w:cs="宋体"/>
          <w:sz w:val="28"/>
          <w:szCs w:val="28"/>
        </w:rPr>
      </w:pPr>
      <w:r>
        <w:rPr>
          <w:rFonts w:hint="eastAsia" w:ascii="宋体" w:hAnsi="宋体" w:eastAsia="宋体" w:cs="宋体"/>
          <w:sz w:val="28"/>
          <w:szCs w:val="28"/>
        </w:rPr>
        <w:t>地址：</w:t>
      </w:r>
    </w:p>
    <w:p>
      <w:pPr>
        <w:spacing w:line="360" w:lineRule="auto"/>
        <w:jc w:val="left"/>
        <w:rPr>
          <w:rFonts w:ascii="宋体" w:hAnsi="宋体" w:eastAsia="宋体" w:cs="宋体"/>
          <w:sz w:val="28"/>
          <w:szCs w:val="28"/>
        </w:rPr>
      </w:pPr>
      <w:r>
        <w:rPr>
          <w:rFonts w:hint="eastAsia" w:ascii="宋体" w:hAnsi="宋体" w:eastAsia="宋体" w:cs="宋体"/>
          <w:sz w:val="28"/>
          <w:szCs w:val="28"/>
        </w:rPr>
        <w:t>成立时间：  年  月  日</w:t>
      </w:r>
    </w:p>
    <w:p>
      <w:pPr>
        <w:spacing w:line="360" w:lineRule="auto"/>
        <w:jc w:val="left"/>
        <w:rPr>
          <w:rFonts w:ascii="宋体" w:hAnsi="宋体" w:eastAsia="宋体" w:cs="宋体"/>
          <w:sz w:val="28"/>
          <w:szCs w:val="28"/>
          <w:u w:val="single"/>
        </w:rPr>
      </w:pPr>
      <w:r>
        <w:rPr>
          <w:rFonts w:hint="eastAsia" w:ascii="宋体" w:hAnsi="宋体" w:eastAsia="宋体" w:cs="宋体"/>
          <w:sz w:val="28"/>
          <w:szCs w:val="28"/>
        </w:rPr>
        <w:t>经营期限：</w:t>
      </w:r>
    </w:p>
    <w:p>
      <w:pPr>
        <w:spacing w:line="360" w:lineRule="auto"/>
        <w:jc w:val="left"/>
        <w:rPr>
          <w:rFonts w:ascii="宋体" w:hAnsi="宋体" w:eastAsia="宋体" w:cs="宋体"/>
          <w:sz w:val="28"/>
          <w:szCs w:val="28"/>
        </w:rPr>
      </w:pPr>
      <w:r>
        <w:rPr>
          <w:rFonts w:hint="eastAsia" w:ascii="宋体" w:hAnsi="宋体" w:eastAsia="宋体" w:cs="宋体"/>
          <w:sz w:val="28"/>
          <w:szCs w:val="28"/>
        </w:rPr>
        <w:t>姓名：   性别：   年龄：    职务：</w:t>
      </w:r>
    </w:p>
    <w:p>
      <w:pPr>
        <w:spacing w:line="360" w:lineRule="auto"/>
        <w:jc w:val="left"/>
        <w:rPr>
          <w:rFonts w:ascii="宋体" w:hAnsi="宋体" w:eastAsia="宋体" w:cs="宋体"/>
          <w:sz w:val="28"/>
          <w:szCs w:val="28"/>
        </w:rPr>
      </w:pPr>
      <w:r>
        <w:rPr>
          <w:rFonts w:hint="eastAsia" w:ascii="宋体" w:hAnsi="宋体" w:eastAsia="宋体" w:cs="宋体"/>
          <w:sz w:val="28"/>
          <w:szCs w:val="28"/>
        </w:rPr>
        <w:t>系我单位的法定代表人，</w:t>
      </w:r>
      <w:r>
        <w:rPr>
          <w:rFonts w:hint="eastAsia" w:ascii="宋体" w:hAnsi="宋体" w:eastAsia="宋体"/>
          <w:sz w:val="28"/>
        </w:rPr>
        <w:t>为维护</w:t>
      </w:r>
      <w:r>
        <w:rPr>
          <w:rFonts w:hint="eastAsia" w:ascii="宋体" w:hAnsi="宋体" w:eastAsia="宋体"/>
          <w:color w:val="000000"/>
          <w:sz w:val="28"/>
          <w:szCs w:val="28"/>
        </w:rPr>
        <w:t>本项目</w:t>
      </w:r>
      <w:r>
        <w:rPr>
          <w:rFonts w:hint="eastAsia" w:ascii="宋体" w:hAnsi="宋体" w:eastAsia="宋体"/>
          <w:sz w:val="28"/>
        </w:rPr>
        <w:t>，签署上述项目的报价文件、进行投标、签署合同和处理与之有关的一切事务</w:t>
      </w:r>
      <w:r>
        <w:rPr>
          <w:rFonts w:hint="eastAsia" w:ascii="宋体" w:hAnsi="宋体" w:eastAsia="宋体" w:cs="宋体"/>
          <w:sz w:val="28"/>
          <w:szCs w:val="28"/>
        </w:rPr>
        <w:t>。</w:t>
      </w:r>
    </w:p>
    <w:p>
      <w:pPr>
        <w:spacing w:line="360" w:lineRule="auto"/>
        <w:jc w:val="left"/>
        <w:rPr>
          <w:rFonts w:ascii="宋体" w:hAnsi="宋体" w:eastAsia="宋体" w:cs="宋体"/>
          <w:sz w:val="28"/>
          <w:szCs w:val="28"/>
        </w:rPr>
      </w:pPr>
      <w:r>
        <w:rPr>
          <w:rFonts w:hint="eastAsia" w:ascii="宋体" w:hAnsi="宋体" w:eastAsia="宋体" w:cs="宋体"/>
          <w:sz w:val="28"/>
          <w:szCs w:val="28"/>
        </w:rPr>
        <w:t>特此证明。</w:t>
      </w:r>
    </w:p>
    <w:p>
      <w:pPr>
        <w:spacing w:line="360" w:lineRule="auto"/>
        <w:jc w:val="left"/>
        <w:rPr>
          <w:rFonts w:ascii="宋体" w:hAnsi="宋体" w:eastAsia="宋体" w:cs="宋体"/>
          <w:sz w:val="28"/>
          <w:szCs w:val="28"/>
        </w:rPr>
      </w:pPr>
      <w:r>
        <w:rPr>
          <w:rFonts w:hint="eastAsia" w:ascii="宋体" w:hAnsi="宋体" w:eastAsia="宋体" w:cs="宋体"/>
          <w:sz w:val="28"/>
          <w:szCs w:val="28"/>
        </w:rPr>
        <w:t>附：有效期内的法定代表人身份证复印件</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4643" w:type="dxa"/>
            <w:tcBorders>
              <w:right w:val="single" w:color="auto" w:sz="18" w:space="0"/>
            </w:tcBorders>
          </w:tcPr>
          <w:p>
            <w:pPr>
              <w:spacing w:line="480" w:lineRule="auto"/>
              <w:jc w:val="center"/>
              <w:rPr>
                <w:rFonts w:ascii="宋体" w:hAnsi="宋体" w:eastAsia="宋体" w:cs="宋体"/>
              </w:rPr>
            </w:pPr>
          </w:p>
          <w:p>
            <w:pPr>
              <w:spacing w:line="480" w:lineRule="auto"/>
              <w:jc w:val="center"/>
              <w:rPr>
                <w:rFonts w:ascii="宋体" w:hAnsi="宋体" w:eastAsia="宋体" w:cs="宋体"/>
              </w:rPr>
            </w:pPr>
            <w:r>
              <w:rPr>
                <w:rFonts w:hint="eastAsia" w:ascii="宋体" w:hAnsi="宋体" w:eastAsia="宋体" w:cs="宋体"/>
              </w:rPr>
              <w:t>法定代表人身份证复印件（国徽面）</w:t>
            </w:r>
          </w:p>
        </w:tc>
        <w:tc>
          <w:tcPr>
            <w:tcW w:w="4644" w:type="dxa"/>
            <w:tcBorders>
              <w:right w:val="single" w:color="auto" w:sz="18" w:space="0"/>
            </w:tcBorders>
          </w:tcPr>
          <w:p>
            <w:pPr>
              <w:spacing w:line="480" w:lineRule="auto"/>
              <w:jc w:val="center"/>
              <w:rPr>
                <w:rFonts w:ascii="宋体" w:hAnsi="宋体" w:eastAsia="宋体" w:cs="宋体"/>
              </w:rPr>
            </w:pPr>
          </w:p>
          <w:p>
            <w:pPr>
              <w:spacing w:line="480" w:lineRule="auto"/>
              <w:jc w:val="center"/>
              <w:rPr>
                <w:rFonts w:ascii="宋体" w:hAnsi="宋体" w:eastAsia="宋体" w:cs="宋体"/>
              </w:rPr>
            </w:pPr>
            <w:r>
              <w:rPr>
                <w:rFonts w:hint="eastAsia" w:ascii="宋体" w:hAnsi="宋体" w:eastAsia="宋体" w:cs="宋体"/>
              </w:rPr>
              <w:t>法定代表人身份证复印件（人像面）</w:t>
            </w:r>
          </w:p>
        </w:tc>
      </w:tr>
    </w:tbl>
    <w:p>
      <w:pPr>
        <w:spacing w:line="360" w:lineRule="auto"/>
        <w:jc w:val="left"/>
        <w:rPr>
          <w:rFonts w:ascii="宋体" w:hAnsi="宋体" w:eastAsia="宋体" w:cs="宋体"/>
          <w:sz w:val="28"/>
          <w:szCs w:val="28"/>
        </w:rPr>
      </w:pPr>
    </w:p>
    <w:p>
      <w:pPr>
        <w:spacing w:line="360" w:lineRule="auto"/>
        <w:jc w:val="left"/>
        <w:rPr>
          <w:rFonts w:ascii="宋体" w:hAnsi="宋体" w:eastAsia="宋体" w:cs="宋体"/>
          <w:sz w:val="28"/>
          <w:szCs w:val="28"/>
        </w:rPr>
      </w:pPr>
      <w:r>
        <w:rPr>
          <w:rFonts w:hint="eastAsia" w:ascii="宋体" w:hAnsi="宋体" w:eastAsia="宋体" w:cs="宋体"/>
          <w:sz w:val="28"/>
          <w:szCs w:val="28"/>
        </w:rPr>
        <w:t>投标人：（盖单位章）</w:t>
      </w:r>
    </w:p>
    <w:p>
      <w:pPr>
        <w:spacing w:line="360" w:lineRule="auto"/>
        <w:jc w:val="left"/>
        <w:rPr>
          <w:rFonts w:ascii="宋体" w:hAnsi="宋体" w:eastAsia="宋体" w:cs="宋体"/>
          <w:sz w:val="28"/>
          <w:szCs w:val="28"/>
          <w:u w:val="single"/>
        </w:rPr>
      </w:pPr>
      <w:r>
        <w:rPr>
          <w:rFonts w:hint="eastAsia" w:ascii="宋体" w:hAnsi="宋体" w:eastAsia="宋体" w:cs="宋体"/>
          <w:sz w:val="28"/>
          <w:szCs w:val="28"/>
        </w:rPr>
        <w:t>法定代表人：（签字或盖章）</w:t>
      </w:r>
    </w:p>
    <w:p>
      <w:pPr>
        <w:spacing w:line="360" w:lineRule="auto"/>
        <w:rPr>
          <w:rFonts w:ascii="宋体" w:hAnsi="宋体" w:eastAsia="宋体" w:cs="宋体"/>
          <w:sz w:val="28"/>
          <w:szCs w:val="28"/>
        </w:rPr>
      </w:pPr>
      <w:r>
        <w:rPr>
          <w:rFonts w:hint="eastAsia" w:ascii="宋体" w:hAnsi="宋体" w:eastAsia="宋体" w:cs="宋体"/>
          <w:sz w:val="28"/>
          <w:szCs w:val="28"/>
        </w:rPr>
        <w:t>年   月   日</w:t>
      </w:r>
    </w:p>
    <w:p>
      <w:pPr>
        <w:widowControl/>
        <w:jc w:val="left"/>
        <w:rPr>
          <w:rFonts w:ascii="宋体" w:hAnsi="宋体"/>
          <w:b/>
          <w:sz w:val="30"/>
          <w:szCs w:val="30"/>
        </w:rPr>
      </w:pPr>
      <w:r>
        <w:rPr>
          <w:rFonts w:ascii="宋体" w:hAnsi="宋体"/>
          <w:b/>
          <w:sz w:val="30"/>
          <w:szCs w:val="30"/>
        </w:rPr>
        <w:br w:type="page"/>
      </w:r>
    </w:p>
    <w:p>
      <w:pPr>
        <w:pStyle w:val="4"/>
        <w:rPr>
          <w:rStyle w:val="42"/>
          <w:b/>
          <w:bCs/>
        </w:rPr>
      </w:pPr>
      <w:bookmarkStart w:id="102" w:name="_Toc20455"/>
      <w:bookmarkStart w:id="103" w:name="_Toc16115"/>
      <w:bookmarkStart w:id="104" w:name="_Toc27127"/>
      <w:r>
        <w:rPr>
          <w:rStyle w:val="42"/>
          <w:rFonts w:hint="eastAsia"/>
          <w:b/>
          <w:bCs/>
        </w:rPr>
        <w:t>四、授权委托代理人联系方式</w:t>
      </w:r>
      <w:bookmarkEnd w:id="102"/>
      <w:bookmarkEnd w:id="103"/>
      <w:bookmarkEnd w:id="104"/>
    </w:p>
    <w:p>
      <w:pPr>
        <w:spacing w:line="500" w:lineRule="exact"/>
        <w:ind w:firstLine="548" w:firstLineChars="196"/>
        <w:rPr>
          <w:rFonts w:ascii="宋体" w:hAnsi="宋体" w:eastAsia="宋体"/>
          <w:color w:val="000000"/>
          <w:sz w:val="28"/>
          <w:szCs w:val="28"/>
        </w:rPr>
      </w:pPr>
      <w:r>
        <w:rPr>
          <w:rFonts w:hint="eastAsia" w:ascii="宋体" w:hAnsi="宋体" w:eastAsia="宋体"/>
          <w:color w:val="000000"/>
          <w:sz w:val="28"/>
          <w:szCs w:val="28"/>
        </w:rPr>
        <w:t>本人（</w:t>
      </w:r>
      <w:r>
        <w:rPr>
          <w:rFonts w:hint="eastAsia" w:ascii="宋体" w:hAnsi="宋体" w:eastAsia="宋体"/>
          <w:color w:val="000000"/>
          <w:sz w:val="28"/>
          <w:szCs w:val="28"/>
          <w:u w:val="single"/>
        </w:rPr>
        <w:t>姓名</w:t>
      </w:r>
      <w:r>
        <w:rPr>
          <w:rFonts w:hint="eastAsia" w:ascii="宋体" w:hAnsi="宋体" w:eastAsia="宋体"/>
          <w:color w:val="000000"/>
          <w:sz w:val="28"/>
          <w:szCs w:val="28"/>
        </w:rPr>
        <w:t>）系（</w:t>
      </w:r>
      <w:r>
        <w:rPr>
          <w:rFonts w:hint="eastAsia" w:ascii="宋体" w:hAnsi="宋体" w:eastAsia="宋体"/>
          <w:color w:val="000000"/>
          <w:sz w:val="28"/>
          <w:szCs w:val="28"/>
          <w:u w:val="single"/>
        </w:rPr>
        <w:t>投标人名称</w:t>
      </w:r>
      <w:r>
        <w:rPr>
          <w:rFonts w:hint="eastAsia" w:ascii="宋体" w:hAnsi="宋体" w:eastAsia="宋体"/>
          <w:color w:val="000000"/>
          <w:sz w:val="28"/>
          <w:szCs w:val="28"/>
        </w:rPr>
        <w:t>）的法定代表人，现委托（</w:t>
      </w:r>
      <w:r>
        <w:rPr>
          <w:rFonts w:hint="eastAsia" w:ascii="宋体" w:hAnsi="宋体" w:eastAsia="宋体"/>
          <w:color w:val="000000"/>
          <w:sz w:val="28"/>
          <w:szCs w:val="28"/>
          <w:u w:val="single"/>
        </w:rPr>
        <w:t>姓名</w:t>
      </w:r>
      <w:r>
        <w:rPr>
          <w:rFonts w:hint="eastAsia" w:ascii="宋体" w:hAnsi="宋体" w:eastAsia="宋体"/>
          <w:color w:val="000000"/>
          <w:sz w:val="28"/>
          <w:szCs w:val="28"/>
        </w:rPr>
        <w:t>）为我方代理人。为我公司签署本项目已递交的竞标上传资料的法定代表人的授权委托代理人，代理人全权代表我所签署的本项目已递交的竞标上传资料内容我均承认。</w:t>
      </w:r>
    </w:p>
    <w:p>
      <w:pPr>
        <w:spacing w:line="500" w:lineRule="exact"/>
        <w:rPr>
          <w:rFonts w:ascii="宋体" w:hAnsi="宋体" w:eastAsia="宋体"/>
          <w:color w:val="000000"/>
          <w:sz w:val="28"/>
          <w:szCs w:val="28"/>
        </w:rPr>
      </w:pPr>
      <w:r>
        <w:rPr>
          <w:rFonts w:hint="eastAsia" w:ascii="宋体" w:hAnsi="宋体" w:eastAsia="宋体"/>
          <w:color w:val="000000"/>
          <w:sz w:val="28"/>
          <w:szCs w:val="28"/>
        </w:rPr>
        <w:t>委托期限：</w:t>
      </w:r>
      <w:r>
        <w:rPr>
          <w:rFonts w:hint="eastAsia" w:ascii="宋体" w:hAnsi="宋体" w:eastAsia="宋体"/>
          <w:color w:val="000000"/>
          <w:sz w:val="28"/>
          <w:szCs w:val="28"/>
          <w:u w:val="single"/>
        </w:rPr>
        <w:t xml:space="preserve">                       </w:t>
      </w:r>
      <w:r>
        <w:rPr>
          <w:rFonts w:hint="eastAsia" w:ascii="宋体" w:hAnsi="宋体" w:eastAsia="宋体"/>
          <w:color w:val="000000"/>
          <w:sz w:val="28"/>
          <w:szCs w:val="28"/>
        </w:rPr>
        <w:t>。</w:t>
      </w:r>
    </w:p>
    <w:p>
      <w:pPr>
        <w:spacing w:line="500" w:lineRule="exact"/>
        <w:rPr>
          <w:rFonts w:ascii="宋体" w:hAnsi="宋体" w:eastAsia="宋体"/>
          <w:color w:val="000000"/>
          <w:sz w:val="28"/>
          <w:szCs w:val="28"/>
        </w:rPr>
      </w:pPr>
      <w:r>
        <w:rPr>
          <w:rFonts w:hint="eastAsia" w:ascii="宋体" w:hAnsi="宋体" w:eastAsia="宋体"/>
          <w:color w:val="000000"/>
          <w:sz w:val="28"/>
          <w:szCs w:val="28"/>
        </w:rPr>
        <w:t>代理人无转委托权。</w:t>
      </w:r>
    </w:p>
    <w:p>
      <w:pPr>
        <w:spacing w:line="500" w:lineRule="exact"/>
        <w:rPr>
          <w:rFonts w:ascii="宋体" w:hAnsi="宋体" w:eastAsia="宋体"/>
          <w:b/>
          <w:color w:val="000000"/>
          <w:sz w:val="28"/>
          <w:szCs w:val="28"/>
        </w:rPr>
      </w:pPr>
      <w:r>
        <w:rPr>
          <w:rFonts w:hint="eastAsia" w:ascii="宋体" w:hAnsi="宋体" w:eastAsia="宋体"/>
          <w:b/>
          <w:color w:val="000000"/>
          <w:sz w:val="28"/>
          <w:szCs w:val="28"/>
        </w:rPr>
        <w:t>附：有效期内的法定代表人和授权委托人身份证复印件</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8"/>
        <w:gridCol w:w="4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jc w:val="center"/>
        </w:trPr>
        <w:tc>
          <w:tcPr>
            <w:tcW w:w="2500" w:type="pct"/>
            <w:tcBorders>
              <w:right w:val="single" w:color="auto" w:sz="18" w:space="0"/>
            </w:tcBorders>
          </w:tcPr>
          <w:p>
            <w:pPr>
              <w:spacing w:line="480" w:lineRule="auto"/>
              <w:jc w:val="center"/>
              <w:rPr>
                <w:rFonts w:ascii="宋体" w:hAnsi="宋体" w:eastAsia="宋体" w:cs="宋体"/>
              </w:rPr>
            </w:pPr>
          </w:p>
          <w:p>
            <w:pPr>
              <w:spacing w:line="480" w:lineRule="auto"/>
              <w:jc w:val="center"/>
              <w:rPr>
                <w:rFonts w:ascii="宋体" w:hAnsi="宋体" w:eastAsia="宋体" w:cs="宋体"/>
              </w:rPr>
            </w:pPr>
            <w:r>
              <w:rPr>
                <w:rFonts w:hint="eastAsia" w:ascii="宋体" w:hAnsi="宋体" w:eastAsia="宋体" w:cs="宋体"/>
              </w:rPr>
              <w:t>法定代表人身份证复印件（国徽面）</w:t>
            </w:r>
          </w:p>
        </w:tc>
        <w:tc>
          <w:tcPr>
            <w:tcW w:w="2500" w:type="pct"/>
            <w:tcBorders>
              <w:right w:val="single" w:color="auto" w:sz="18" w:space="0"/>
            </w:tcBorders>
          </w:tcPr>
          <w:p>
            <w:pPr>
              <w:spacing w:line="480" w:lineRule="auto"/>
              <w:jc w:val="center"/>
              <w:rPr>
                <w:rFonts w:ascii="宋体" w:hAnsi="宋体" w:eastAsia="宋体" w:cs="宋体"/>
              </w:rPr>
            </w:pPr>
          </w:p>
          <w:p>
            <w:pPr>
              <w:spacing w:line="480" w:lineRule="auto"/>
              <w:jc w:val="center"/>
              <w:rPr>
                <w:rFonts w:ascii="宋体" w:hAnsi="宋体" w:eastAsia="宋体" w:cs="宋体"/>
              </w:rPr>
            </w:pPr>
            <w:r>
              <w:rPr>
                <w:rFonts w:hint="eastAsia" w:ascii="宋体" w:hAnsi="宋体" w:eastAsia="宋体" w:cs="宋体"/>
              </w:rPr>
              <w:t>法定代表人身份证复印件（人像面）</w:t>
            </w:r>
          </w:p>
        </w:tc>
      </w:tr>
    </w:tbl>
    <w:p>
      <w:pPr>
        <w:spacing w:line="480" w:lineRule="auto"/>
        <w:jc w:val="center"/>
        <w:rPr>
          <w:rFonts w:ascii="宋体" w:hAnsi="宋体" w:eastAsia="宋体" w:cs="宋体"/>
        </w:rPr>
      </w:pP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0"/>
        <w:gridCol w:w="4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2490" w:type="pct"/>
            <w:tcBorders>
              <w:right w:val="single" w:color="auto" w:sz="18" w:space="0"/>
            </w:tcBorders>
          </w:tcPr>
          <w:p>
            <w:pPr>
              <w:spacing w:line="480" w:lineRule="auto"/>
              <w:jc w:val="center"/>
              <w:rPr>
                <w:rFonts w:ascii="宋体" w:hAnsi="宋体" w:eastAsia="宋体" w:cs="宋体"/>
              </w:rPr>
            </w:pPr>
          </w:p>
          <w:p>
            <w:pPr>
              <w:spacing w:line="480" w:lineRule="auto"/>
              <w:jc w:val="center"/>
              <w:rPr>
                <w:rFonts w:ascii="宋体" w:hAnsi="宋体" w:eastAsia="宋体" w:cs="宋体"/>
              </w:rPr>
            </w:pPr>
            <w:r>
              <w:rPr>
                <w:rFonts w:hint="eastAsia" w:ascii="宋体" w:hAnsi="宋体" w:eastAsia="宋体" w:cs="宋体"/>
              </w:rPr>
              <w:t>委托人身份证复印件（国徽面）</w:t>
            </w:r>
          </w:p>
        </w:tc>
        <w:tc>
          <w:tcPr>
            <w:tcW w:w="2510" w:type="pct"/>
            <w:tcBorders>
              <w:right w:val="single" w:color="auto" w:sz="18" w:space="0"/>
            </w:tcBorders>
          </w:tcPr>
          <w:p>
            <w:pPr>
              <w:spacing w:line="480" w:lineRule="auto"/>
              <w:jc w:val="center"/>
              <w:rPr>
                <w:rFonts w:ascii="宋体" w:hAnsi="宋体" w:eastAsia="宋体" w:cs="宋体"/>
              </w:rPr>
            </w:pPr>
          </w:p>
          <w:p>
            <w:pPr>
              <w:spacing w:line="480" w:lineRule="auto"/>
              <w:jc w:val="center"/>
              <w:rPr>
                <w:rFonts w:ascii="宋体" w:hAnsi="宋体" w:eastAsia="宋体" w:cs="宋体"/>
              </w:rPr>
            </w:pPr>
            <w:r>
              <w:rPr>
                <w:rFonts w:hint="eastAsia" w:ascii="宋体" w:hAnsi="宋体" w:eastAsia="宋体" w:cs="宋体"/>
              </w:rPr>
              <w:t>委托人身份证复印件（人像面）</w:t>
            </w:r>
          </w:p>
        </w:tc>
      </w:tr>
    </w:tbl>
    <w:p>
      <w:pPr>
        <w:spacing w:line="360" w:lineRule="auto"/>
        <w:rPr>
          <w:rFonts w:ascii="宋体" w:hAnsi="宋体" w:eastAsia="宋体"/>
          <w:color w:val="000000"/>
          <w:sz w:val="28"/>
          <w:szCs w:val="28"/>
        </w:rPr>
      </w:pPr>
    </w:p>
    <w:p>
      <w:pPr>
        <w:spacing w:line="360" w:lineRule="auto"/>
        <w:rPr>
          <w:rFonts w:ascii="宋体" w:hAnsi="宋体" w:eastAsia="宋体"/>
          <w:color w:val="000000"/>
          <w:sz w:val="28"/>
          <w:szCs w:val="28"/>
        </w:rPr>
      </w:pPr>
      <w:r>
        <w:rPr>
          <w:rFonts w:hint="eastAsia" w:ascii="宋体" w:hAnsi="宋体" w:eastAsia="宋体"/>
          <w:color w:val="000000"/>
          <w:sz w:val="28"/>
          <w:szCs w:val="28"/>
        </w:rPr>
        <w:t>投标人：（盖单位章）</w:t>
      </w:r>
    </w:p>
    <w:p>
      <w:pPr>
        <w:spacing w:line="360" w:lineRule="auto"/>
        <w:rPr>
          <w:rFonts w:ascii="宋体" w:hAnsi="宋体" w:eastAsia="宋体"/>
          <w:color w:val="000000"/>
          <w:sz w:val="28"/>
          <w:szCs w:val="28"/>
        </w:rPr>
      </w:pPr>
      <w:r>
        <w:rPr>
          <w:rFonts w:hint="eastAsia" w:ascii="宋体" w:hAnsi="宋体" w:eastAsia="宋体"/>
          <w:color w:val="000000"/>
          <w:sz w:val="28"/>
          <w:szCs w:val="28"/>
        </w:rPr>
        <w:t>法定代表人：（签字或盖章）</w:t>
      </w:r>
    </w:p>
    <w:p>
      <w:pPr>
        <w:spacing w:line="360" w:lineRule="auto"/>
        <w:rPr>
          <w:rFonts w:ascii="宋体" w:hAnsi="宋体" w:eastAsia="宋体"/>
          <w:color w:val="000000"/>
          <w:sz w:val="28"/>
          <w:szCs w:val="28"/>
        </w:rPr>
      </w:pPr>
      <w:r>
        <w:rPr>
          <w:rFonts w:hint="eastAsia" w:ascii="宋体" w:hAnsi="宋体" w:eastAsia="宋体"/>
          <w:color w:val="000000"/>
          <w:sz w:val="28"/>
          <w:szCs w:val="28"/>
        </w:rPr>
        <w:t>委托代理人：（签字）</w:t>
      </w:r>
    </w:p>
    <w:p>
      <w:pPr>
        <w:spacing w:line="360" w:lineRule="auto"/>
        <w:rPr>
          <w:rFonts w:ascii="宋体" w:hAnsi="宋体" w:eastAsia="宋体"/>
          <w:color w:val="000000"/>
          <w:sz w:val="28"/>
          <w:szCs w:val="28"/>
        </w:rPr>
      </w:pPr>
      <w:r>
        <w:rPr>
          <w:rFonts w:hint="eastAsia" w:ascii="宋体" w:hAnsi="宋体" w:eastAsia="宋体"/>
          <w:color w:val="000000"/>
          <w:sz w:val="28"/>
          <w:szCs w:val="28"/>
        </w:rPr>
        <w:t>日期：    年   月   日</w:t>
      </w:r>
    </w:p>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Fonts w:ascii="宋体" w:hAnsi="宋体" w:cs="宋体"/>
          <w:sz w:val="24"/>
        </w:rPr>
      </w:pPr>
      <w:bookmarkStart w:id="105" w:name="_Toc6272"/>
      <w:bookmarkStart w:id="106" w:name="_Toc30040"/>
      <w:bookmarkStart w:id="107" w:name="_Toc1788"/>
      <w:r>
        <w:rPr>
          <w:rStyle w:val="42"/>
          <w:rFonts w:hint="eastAsia"/>
          <w:b/>
          <w:bCs/>
        </w:rPr>
        <w:t>五、商务条款偏离表</w:t>
      </w:r>
      <w:bookmarkEnd w:id="105"/>
      <w:bookmarkEnd w:id="106"/>
      <w:bookmarkEnd w:id="107"/>
    </w:p>
    <w:p>
      <w:pPr>
        <w:pStyle w:val="44"/>
        <w:spacing w:line="360" w:lineRule="auto"/>
        <w:ind w:firstLine="547" w:firstLineChars="228"/>
        <w:jc w:val="left"/>
        <w:rPr>
          <w:rFonts w:ascii="宋体" w:hAnsi="宋体" w:cs="宋体"/>
          <w:sz w:val="24"/>
        </w:rPr>
      </w:pPr>
      <w:r>
        <w:rPr>
          <w:rFonts w:hint="eastAsia" w:ascii="宋体" w:hAnsi="宋体" w:cs="宋体"/>
          <w:sz w:val="24"/>
        </w:rPr>
        <w:t>请对照采购需求明细填写所投产品的商务条款响应情况，保证商务条款实质性响应竞标要求。“偏离情况”栏中应填写“正偏离”或“无偏离”，</w:t>
      </w:r>
      <w:r>
        <w:rPr>
          <w:rFonts w:hint="eastAsia" w:ascii="宋体" w:hAnsi="宋体" w:cs="宋体"/>
          <w:b/>
          <w:bCs/>
          <w:sz w:val="24"/>
        </w:rPr>
        <w:t>不接受“负偏离”。</w:t>
      </w:r>
    </w:p>
    <w:tbl>
      <w:tblPr>
        <w:tblStyle w:val="30"/>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747"/>
        <w:gridCol w:w="3865"/>
        <w:gridCol w:w="1376"/>
        <w:gridCol w:w="91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序号</w:t>
            </w:r>
          </w:p>
        </w:tc>
        <w:tc>
          <w:tcPr>
            <w:tcW w:w="174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目录</w:t>
            </w:r>
          </w:p>
        </w:tc>
        <w:tc>
          <w:tcPr>
            <w:tcW w:w="3865"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竞标文件商务要求</w:t>
            </w:r>
            <w:r>
              <w:rPr>
                <w:rFonts w:hint="eastAsia" w:asciiTheme="minorEastAsia" w:hAnsiTheme="minorEastAsia" w:eastAsiaTheme="minorEastAsia" w:cstheme="minorBidi"/>
                <w:b/>
                <w:sz w:val="24"/>
                <w:szCs w:val="24"/>
                <w:shd w:val="clear" w:color="auto" w:fill="DBE5F1"/>
              </w:rPr>
              <w:t>条款</w:t>
            </w:r>
          </w:p>
        </w:tc>
        <w:tc>
          <w:tcPr>
            <w:tcW w:w="1376"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应答文件商务要求响应条款</w:t>
            </w:r>
          </w:p>
        </w:tc>
        <w:tc>
          <w:tcPr>
            <w:tcW w:w="91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偏离情况</w:t>
            </w:r>
          </w:p>
        </w:tc>
        <w:tc>
          <w:tcPr>
            <w:tcW w:w="75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服务期限</w:t>
            </w:r>
          </w:p>
        </w:tc>
        <w:tc>
          <w:tcPr>
            <w:tcW w:w="3865" w:type="dxa"/>
            <w:shd w:val="clear" w:color="auto" w:fill="auto"/>
          </w:tcPr>
          <w:p>
            <w:pPr>
              <w:rPr>
                <w:rFonts w:ascii="宋体" w:hAnsi="宋体" w:eastAsia="宋体"/>
                <w:bCs/>
                <w:sz w:val="24"/>
              </w:rPr>
            </w:pPr>
            <w:r>
              <w:rPr>
                <w:rFonts w:hint="eastAsia" w:ascii="宋体" w:hAnsi="宋体" w:eastAsia="宋体" w:cs="宋体"/>
                <w:bCs/>
                <w:kern w:val="0"/>
                <w:sz w:val="24"/>
                <w:szCs w:val="24"/>
                <w:lang w:val="zh-CN"/>
              </w:rPr>
              <w:t>自合同签订之日起至2024年7月31日。</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服务地点</w:t>
            </w:r>
          </w:p>
        </w:tc>
        <w:tc>
          <w:tcPr>
            <w:tcW w:w="3865" w:type="dxa"/>
            <w:shd w:val="clear" w:color="auto" w:fill="auto"/>
          </w:tcPr>
          <w:p>
            <w:pPr>
              <w:rPr>
                <w:rFonts w:ascii="宋体" w:hAnsi="宋体" w:eastAsia="宋体"/>
                <w:bCs/>
                <w:sz w:val="24"/>
                <w:lang w:val="en-GB"/>
              </w:rPr>
            </w:pPr>
            <w:r>
              <w:rPr>
                <w:rFonts w:hint="eastAsia" w:ascii="宋体" w:hAnsi="宋体" w:eastAsia="宋体" w:cs="宋体"/>
                <w:bCs/>
                <w:sz w:val="24"/>
                <w:szCs w:val="24"/>
              </w:rPr>
              <w:t>深圳市公安局龙华分局及采购人指定地点。</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付款方式</w:t>
            </w:r>
          </w:p>
        </w:tc>
        <w:tc>
          <w:tcPr>
            <w:tcW w:w="3865" w:type="dxa"/>
            <w:shd w:val="clear" w:color="auto" w:fill="auto"/>
          </w:tcPr>
          <w:p>
            <w:pPr>
              <w:rPr>
                <w:rFonts w:ascii="宋体" w:hAnsi="宋体" w:eastAsia="宋体"/>
                <w:bCs/>
                <w:sz w:val="24"/>
                <w:lang w:val="en-GB"/>
              </w:rPr>
            </w:pPr>
            <w:r>
              <w:rPr>
                <w:rStyle w:val="47"/>
                <w:rFonts w:hint="eastAsia" w:ascii="宋体" w:hAnsi="宋体" w:eastAsia="宋体"/>
                <w:color w:val="000000"/>
                <w:sz w:val="24"/>
                <w:szCs w:val="24"/>
              </w:rPr>
              <w:t>按照采购人内部支付要求进行付款，具体以合同签订为准。</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w:t>
            </w:r>
          </w:p>
        </w:tc>
        <w:tc>
          <w:tcPr>
            <w:tcW w:w="174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服务成果要求</w:t>
            </w:r>
          </w:p>
        </w:tc>
        <w:tc>
          <w:tcPr>
            <w:tcW w:w="3865" w:type="dxa"/>
            <w:shd w:val="clear" w:color="auto" w:fill="auto"/>
          </w:tcPr>
          <w:p>
            <w:pPr>
              <w:rPr>
                <w:rFonts w:asciiTheme="minorEastAsia" w:hAnsiTheme="minorEastAsia" w:eastAsiaTheme="minorEastAsia" w:cstheme="minorEastAsia"/>
                <w:sz w:val="24"/>
                <w:szCs w:val="24"/>
                <w:lang w:val="en-GB"/>
              </w:rPr>
            </w:pPr>
            <w:r>
              <w:rPr>
                <w:rStyle w:val="47"/>
                <w:rFonts w:hint="eastAsia" w:ascii="宋体" w:hAnsi="宋体" w:eastAsia="宋体"/>
                <w:color w:val="000000"/>
                <w:sz w:val="24"/>
                <w:szCs w:val="24"/>
              </w:rPr>
              <w:t>《资产梳理清单》、《重要时期保障报告》、《网络安全周报》、《应急相应处置表》、《安全意识培训PPT》、《安全漏洞检测报告》、《渗透测试报告》。</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74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关于验收及违约责任</w:t>
            </w:r>
          </w:p>
        </w:tc>
        <w:tc>
          <w:tcPr>
            <w:tcW w:w="3865" w:type="dxa"/>
            <w:shd w:val="clear" w:color="auto" w:fill="auto"/>
          </w:tcPr>
          <w:p>
            <w:pPr>
              <w:rPr>
                <w:rStyle w:val="47"/>
                <w:rFonts w:hint="eastAsia" w:ascii="宋体" w:hAnsi="宋体" w:eastAsia="宋体"/>
                <w:color w:val="000000"/>
                <w:sz w:val="24"/>
                <w:szCs w:val="24"/>
              </w:rPr>
            </w:pPr>
            <w:r>
              <w:rPr>
                <w:rStyle w:val="47"/>
                <w:rFonts w:hint="eastAsia" w:ascii="宋体" w:hAnsi="宋体" w:eastAsia="宋体"/>
                <w:color w:val="000000"/>
                <w:sz w:val="24"/>
                <w:szCs w:val="24"/>
              </w:rPr>
              <w:t>1.关于验收：</w:t>
            </w:r>
          </w:p>
          <w:p>
            <w:pPr>
              <w:rPr>
                <w:rStyle w:val="47"/>
                <w:rFonts w:hint="eastAsia" w:ascii="宋体" w:hAnsi="宋体" w:eastAsia="宋体"/>
                <w:color w:val="000000"/>
                <w:sz w:val="24"/>
                <w:szCs w:val="24"/>
              </w:rPr>
            </w:pPr>
            <w:r>
              <w:rPr>
                <w:rStyle w:val="47"/>
                <w:rFonts w:hint="eastAsia" w:ascii="宋体" w:hAnsi="宋体" w:eastAsia="宋体"/>
                <w:color w:val="000000"/>
                <w:sz w:val="24"/>
                <w:szCs w:val="24"/>
              </w:rPr>
              <w:t>1)服务经过双方检验认可后，签署验收报告。</w:t>
            </w:r>
          </w:p>
          <w:p>
            <w:pPr>
              <w:rPr>
                <w:rStyle w:val="47"/>
                <w:rFonts w:hint="eastAsia" w:ascii="宋体" w:hAnsi="宋体" w:eastAsia="宋体"/>
                <w:color w:val="000000"/>
                <w:sz w:val="24"/>
                <w:szCs w:val="24"/>
              </w:rPr>
            </w:pPr>
            <w:r>
              <w:rPr>
                <w:rStyle w:val="47"/>
                <w:rFonts w:hint="eastAsia" w:ascii="宋体" w:hAnsi="宋体" w:eastAsia="宋体"/>
                <w:color w:val="000000"/>
                <w:sz w:val="24"/>
                <w:szCs w:val="24"/>
              </w:rPr>
              <w:t>2)当满足以下条件时，采购人才向中标人签发验收报告：</w:t>
            </w:r>
          </w:p>
          <w:p>
            <w:pPr>
              <w:rPr>
                <w:rStyle w:val="47"/>
                <w:rFonts w:hint="eastAsia" w:ascii="宋体" w:hAnsi="宋体" w:eastAsia="宋体"/>
                <w:color w:val="000000"/>
                <w:sz w:val="24"/>
                <w:szCs w:val="24"/>
              </w:rPr>
            </w:pPr>
            <w:r>
              <w:rPr>
                <w:rStyle w:val="47"/>
                <w:rFonts w:hint="eastAsia" w:ascii="宋体" w:hAnsi="宋体" w:eastAsia="宋体"/>
                <w:color w:val="000000"/>
                <w:sz w:val="24"/>
                <w:szCs w:val="24"/>
              </w:rPr>
              <w:t>a、中标人已按照合同规定提供</w:t>
            </w:r>
            <w:r>
              <w:rPr>
                <w:rStyle w:val="47"/>
                <w:rFonts w:hint="eastAsia" w:ascii="宋体" w:hAnsi="宋体" w:eastAsia="宋体"/>
                <w:color w:val="000000"/>
                <w:sz w:val="24"/>
                <w:szCs w:val="24"/>
                <w:lang w:eastAsia="zh-CN"/>
              </w:rPr>
              <w:t>了</w:t>
            </w:r>
            <w:r>
              <w:rPr>
                <w:rStyle w:val="47"/>
                <w:rFonts w:hint="eastAsia" w:ascii="宋体" w:hAnsi="宋体" w:eastAsia="宋体"/>
                <w:color w:val="000000"/>
                <w:sz w:val="24"/>
                <w:szCs w:val="24"/>
                <w:lang w:val="en-US" w:eastAsia="zh-CN"/>
              </w:rPr>
              <w:t>全部技术服务资料</w:t>
            </w:r>
            <w:r>
              <w:rPr>
                <w:rStyle w:val="47"/>
                <w:rFonts w:hint="eastAsia" w:ascii="宋体" w:hAnsi="宋体" w:eastAsia="宋体"/>
                <w:color w:val="000000"/>
                <w:sz w:val="24"/>
                <w:szCs w:val="24"/>
              </w:rPr>
              <w:t>。</w:t>
            </w:r>
          </w:p>
          <w:p>
            <w:pPr>
              <w:rPr>
                <w:rStyle w:val="47"/>
                <w:rFonts w:hint="eastAsia" w:ascii="宋体" w:hAnsi="宋体" w:eastAsia="宋体"/>
                <w:color w:val="000000"/>
                <w:sz w:val="24"/>
                <w:szCs w:val="24"/>
              </w:rPr>
            </w:pPr>
            <w:r>
              <w:rPr>
                <w:rStyle w:val="47"/>
                <w:rFonts w:hint="eastAsia" w:ascii="宋体" w:hAnsi="宋体" w:eastAsia="宋体"/>
                <w:color w:val="000000"/>
                <w:sz w:val="24"/>
                <w:szCs w:val="24"/>
              </w:rPr>
              <w:t>b、服务项目符合招标文件的服务要求。</w:t>
            </w:r>
          </w:p>
          <w:p>
            <w:pPr>
              <w:rPr>
                <w:rFonts w:ascii="宋体" w:hAnsi="宋体" w:eastAsia="宋体" w:cs="宋体"/>
                <w:sz w:val="24"/>
                <w:szCs w:val="24"/>
              </w:rPr>
            </w:pPr>
            <w:r>
              <w:rPr>
                <w:rStyle w:val="47"/>
                <w:rFonts w:hint="eastAsia" w:ascii="宋体" w:hAnsi="宋体" w:eastAsia="宋体"/>
                <w:color w:val="000000"/>
                <w:sz w:val="24"/>
                <w:szCs w:val="24"/>
              </w:rPr>
              <w:t>2.违约责任：项目验收过程中，如存在因维护方交付原因，未达到服务要求，视为违反合同约定，</w:t>
            </w:r>
            <w:r>
              <w:rPr>
                <w:rStyle w:val="47"/>
                <w:rFonts w:hint="eastAsia" w:ascii="宋体" w:hAnsi="宋体" w:eastAsia="宋体"/>
                <w:color w:val="000000"/>
                <w:sz w:val="24"/>
                <w:szCs w:val="24"/>
                <w:lang w:val="en-US" w:eastAsia="zh-CN"/>
              </w:rPr>
              <w:t>中标人</w:t>
            </w:r>
            <w:r>
              <w:rPr>
                <w:rStyle w:val="47"/>
                <w:rFonts w:hint="eastAsia" w:ascii="宋体" w:hAnsi="宋体" w:eastAsia="宋体"/>
                <w:color w:val="000000"/>
                <w:sz w:val="24"/>
                <w:szCs w:val="24"/>
              </w:rPr>
              <w:t>需要以延长服务期限等方式履行违约责任。具体延长时间由双方协商。</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747" w:type="dxa"/>
            <w:shd w:val="clear" w:color="auto" w:fill="auto"/>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报价要求</w:t>
            </w:r>
          </w:p>
        </w:tc>
        <w:tc>
          <w:tcPr>
            <w:tcW w:w="3865" w:type="dxa"/>
            <w:shd w:val="clear" w:color="auto" w:fill="auto"/>
          </w:tcPr>
          <w:p>
            <w:pPr>
              <w:rPr>
                <w:rStyle w:val="47"/>
                <w:rFonts w:hint="eastAsia" w:ascii="宋体" w:hAnsi="宋体" w:eastAsia="宋体"/>
                <w:color w:val="000000"/>
                <w:sz w:val="24"/>
                <w:szCs w:val="24"/>
              </w:rPr>
            </w:pPr>
            <w:r>
              <w:rPr>
                <w:rStyle w:val="47"/>
                <w:rFonts w:hint="eastAsia" w:ascii="宋体" w:hAnsi="宋体" w:eastAsia="宋体"/>
                <w:color w:val="000000"/>
                <w:sz w:val="24"/>
                <w:szCs w:val="24"/>
              </w:rPr>
              <w:t>1.本项目价格采用包干制，报价包括但不限于投标费、设备费、保险费、技术培训费、设备安装费、调试费、人工费等服务成本、法定税费和企业的利润。如竞标文件中要求分项报价而中标人未单独列明的分项价格，将被视为该费用已包含在其他分项中。由投标人根据招标需求自行测算投标报价；一经中标，投标报价即作为中标单位与采购人签订的合同金额。</w:t>
            </w:r>
          </w:p>
          <w:p>
            <w:pPr>
              <w:rPr>
                <w:rStyle w:val="47"/>
                <w:rFonts w:hint="eastAsia" w:ascii="宋体" w:hAnsi="宋体" w:eastAsia="宋体"/>
                <w:color w:val="000000"/>
                <w:sz w:val="24"/>
                <w:szCs w:val="24"/>
              </w:rPr>
            </w:pPr>
            <w:r>
              <w:rPr>
                <w:rStyle w:val="47"/>
                <w:rFonts w:hint="eastAsia" w:ascii="宋体" w:hAnsi="宋体" w:eastAsia="宋体"/>
                <w:color w:val="000000"/>
                <w:sz w:val="24"/>
                <w:szCs w:val="24"/>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rPr>
                <w:rStyle w:val="47"/>
                <w:rFonts w:hint="eastAsia" w:ascii="宋体" w:hAnsi="宋体" w:eastAsia="宋体"/>
                <w:color w:val="000000"/>
                <w:sz w:val="24"/>
                <w:szCs w:val="24"/>
              </w:rPr>
            </w:pPr>
            <w:r>
              <w:rPr>
                <w:rStyle w:val="47"/>
                <w:rFonts w:hint="eastAsia" w:ascii="宋体" w:hAnsi="宋体" w:eastAsia="宋体"/>
                <w:color w:val="000000"/>
                <w:sz w:val="24"/>
                <w:szCs w:val="24"/>
              </w:rPr>
              <w:t>3.投标人应充分了解项目的位置、情况、道路及任何其它足以影响投标报价的情况，任何因忽视或误解项目情况而导致的索赔或服务期限延长申请将不获批准。</w:t>
            </w:r>
          </w:p>
          <w:p>
            <w:pPr>
              <w:rPr>
                <w:rStyle w:val="47"/>
                <w:rFonts w:hint="eastAsia" w:ascii="宋体" w:hAnsi="宋体" w:eastAsia="宋体"/>
                <w:color w:val="000000"/>
                <w:sz w:val="24"/>
                <w:szCs w:val="24"/>
              </w:rPr>
            </w:pPr>
            <w:r>
              <w:rPr>
                <w:rStyle w:val="47"/>
                <w:rFonts w:hint="eastAsia" w:ascii="宋体" w:hAnsi="宋体" w:eastAsia="宋体"/>
                <w:color w:val="000000"/>
                <w:sz w:val="24"/>
                <w:szCs w:val="24"/>
              </w:rPr>
              <w:t>4.投标人不得期望通过索赔等方式获取补偿，否则，除可能遭到拒绝外，还可能将被作为不良行为记录在案，并可能影响其以后参加政府采购的项目投标。各投标人在投标报价时，应充分考虑投标报价的风险。</w:t>
            </w:r>
          </w:p>
          <w:p>
            <w:pPr>
              <w:rPr>
                <w:rFonts w:ascii="宋体" w:hAnsi="宋体" w:eastAsia="宋体" w:cs="宋体"/>
                <w:sz w:val="24"/>
                <w:szCs w:val="24"/>
              </w:rPr>
            </w:pPr>
            <w:r>
              <w:rPr>
                <w:rStyle w:val="47"/>
                <w:rFonts w:hint="eastAsia" w:ascii="宋体" w:hAnsi="宋体" w:eastAsia="宋体"/>
                <w:color w:val="000000"/>
                <w:sz w:val="24"/>
                <w:szCs w:val="24"/>
              </w:rPr>
              <w:t>5.本项目预算控制金额：人民币伍拾万元整（¥500,000.00元），投标报价超过预算控制金额的视为无效投标。</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bl>
    <w:p>
      <w:pPr>
        <w:pStyle w:val="11"/>
      </w:pPr>
    </w:p>
    <w:p>
      <w:pPr>
        <w:pStyle w:val="44"/>
        <w:spacing w:line="360" w:lineRule="auto"/>
        <w:ind w:firstLine="0" w:firstLineChars="0"/>
        <w:jc w:val="left"/>
        <w:rPr>
          <w:rFonts w:ascii="宋体" w:hAnsi="宋体" w:cs="宋体"/>
          <w:sz w:val="24"/>
        </w:rPr>
      </w:pPr>
      <w:r>
        <w:rPr>
          <w:rFonts w:hint="eastAsia" w:ascii="宋体" w:hAnsi="宋体" w:cs="宋体"/>
          <w:sz w:val="24"/>
        </w:rPr>
        <w:t>注：供应商需</w:t>
      </w:r>
      <w:r>
        <w:rPr>
          <w:rFonts w:hint="eastAsia" w:ascii="宋体" w:hAnsi="宋体"/>
          <w:b/>
          <w:sz w:val="24"/>
        </w:rPr>
        <w:t>逐项完整填写</w:t>
      </w:r>
      <w:r>
        <w:rPr>
          <w:rFonts w:hint="eastAsia" w:ascii="宋体" w:hAnsi="宋体" w:cs="宋体"/>
          <w:sz w:val="24"/>
        </w:rPr>
        <w:t>，</w:t>
      </w:r>
      <w:r>
        <w:rPr>
          <w:rFonts w:hint="eastAsia" w:ascii="宋体" w:hAnsi="宋体"/>
          <w:sz w:val="24"/>
        </w:rPr>
        <w:t>应答文件响应条款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44"/>
        <w:spacing w:line="360" w:lineRule="auto"/>
        <w:ind w:firstLine="0" w:firstLineChars="0"/>
        <w:jc w:val="left"/>
        <w:rPr>
          <w:rFonts w:ascii="宋体" w:hAnsi="宋体" w:cs="宋体"/>
          <w:color w:val="FF0000"/>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rPr>
          <w:rFonts w:ascii="宋体" w:hAnsi="宋体" w:eastAsia="宋体"/>
          <w:sz w:val="24"/>
        </w:rPr>
      </w:pPr>
    </w:p>
    <w:p>
      <w:pPr>
        <w:rPr>
          <w:rFonts w:ascii="宋体" w:hAnsi="宋体" w:cs="宋体"/>
          <w:szCs w:val="21"/>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b/>
          <w:sz w:val="30"/>
          <w:szCs w:val="30"/>
        </w:rPr>
      </w:pPr>
      <w:r>
        <w:rPr>
          <w:rFonts w:ascii="宋体" w:hAnsi="宋体"/>
          <w:b/>
          <w:sz w:val="30"/>
          <w:szCs w:val="30"/>
        </w:rPr>
        <w:br w:type="page"/>
      </w:r>
    </w:p>
    <w:p>
      <w:pPr>
        <w:pStyle w:val="4"/>
        <w:spacing w:line="360" w:lineRule="auto"/>
        <w:ind w:firstLine="732" w:firstLineChars="228"/>
        <w:jc w:val="left"/>
      </w:pPr>
      <w:bookmarkStart w:id="108" w:name="_Toc5918"/>
      <w:bookmarkStart w:id="109" w:name="_Toc3006"/>
      <w:bookmarkStart w:id="110" w:name="_Toc20715"/>
      <w:r>
        <w:rPr>
          <w:rStyle w:val="42"/>
          <w:rFonts w:hint="eastAsia"/>
          <w:b/>
          <w:bCs/>
        </w:rPr>
        <w:t>六、服务条款偏离表</w:t>
      </w:r>
      <w:bookmarkEnd w:id="108"/>
      <w:bookmarkEnd w:id="109"/>
      <w:bookmarkEnd w:id="110"/>
    </w:p>
    <w:p>
      <w:pPr>
        <w:pStyle w:val="44"/>
        <w:spacing w:line="360" w:lineRule="auto"/>
        <w:ind w:firstLine="547" w:firstLineChars="228"/>
        <w:jc w:val="left"/>
        <w:rPr>
          <w:rFonts w:ascii="宋体" w:hAnsi="宋体" w:cs="宋体"/>
          <w:b/>
          <w:bCs/>
          <w:sz w:val="24"/>
        </w:rPr>
      </w:pPr>
      <w:r>
        <w:rPr>
          <w:rFonts w:hint="eastAsia" w:ascii="宋体" w:hAnsi="宋体" w:cs="宋体"/>
          <w:sz w:val="24"/>
        </w:rPr>
        <w:t>请对照采购需求明细填写所投服务的服务要求响应情况，保证所投服务的服务要求实质性响应竞标要求。“偏离情况”栏中应填写“正偏离”或“无偏离”，</w:t>
      </w:r>
      <w:r>
        <w:rPr>
          <w:rFonts w:hint="eastAsia" w:ascii="宋体" w:hAnsi="宋体" w:cs="宋体"/>
          <w:b/>
          <w:bCs/>
          <w:sz w:val="24"/>
        </w:rPr>
        <w:t>不接受“负偏离”。</w:t>
      </w:r>
    </w:p>
    <w:p>
      <w:pPr>
        <w:pStyle w:val="44"/>
        <w:spacing w:line="360" w:lineRule="auto"/>
        <w:ind w:firstLine="547" w:firstLineChars="228"/>
        <w:jc w:val="left"/>
        <w:rPr>
          <w:rFonts w:ascii="宋体" w:hAnsi="宋体" w:cs="宋体"/>
          <w:sz w:val="24"/>
        </w:rPr>
      </w:pPr>
    </w:p>
    <w:tbl>
      <w:tblPr>
        <w:tblStyle w:val="31"/>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4798"/>
        <w:gridCol w:w="2766"/>
        <w:gridCol w:w="738"/>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shd w:val="clear" w:color="auto" w:fill="DCE6F2" w:themeFill="accent1" w:themeFillTint="32"/>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4798" w:type="dxa"/>
            <w:shd w:val="clear" w:color="auto" w:fill="DCE6F2" w:themeFill="accent1" w:themeFillTint="32"/>
            <w:vAlign w:val="center"/>
          </w:tcPr>
          <w:p>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竞标文件服务要求条款</w:t>
            </w:r>
          </w:p>
        </w:tc>
        <w:tc>
          <w:tcPr>
            <w:tcW w:w="2766" w:type="dxa"/>
            <w:shd w:val="clear" w:color="auto" w:fill="DCE6F2" w:themeFill="accent1" w:themeFillTint="32"/>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应答文件服务要求响应条款</w:t>
            </w:r>
          </w:p>
        </w:tc>
        <w:tc>
          <w:tcPr>
            <w:tcW w:w="738" w:type="dxa"/>
            <w:shd w:val="clear" w:color="auto" w:fill="DCE6F2" w:themeFill="accent1" w:themeFillTint="32"/>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偏离情况</w:t>
            </w:r>
          </w:p>
        </w:tc>
        <w:tc>
          <w:tcPr>
            <w:tcW w:w="738" w:type="dxa"/>
            <w:shd w:val="clear" w:color="auto" w:fill="DCE6F2" w:themeFill="accent1" w:themeFillTint="32"/>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4798" w:type="dxa"/>
            <w:vAlign w:val="center"/>
          </w:tcPr>
          <w:p>
            <w:pPr>
              <w:rPr>
                <w:rFonts w:ascii="宋体" w:hAnsi="宋体" w:eastAsia="宋体" w:cs="宋体"/>
                <w:b/>
                <w:kern w:val="0"/>
                <w:sz w:val="24"/>
                <w:szCs w:val="24"/>
              </w:rPr>
            </w:pPr>
            <w:r>
              <w:rPr>
                <w:rFonts w:hint="eastAsia" w:ascii="宋体" w:hAnsi="宋体" w:eastAsia="宋体" w:cs="宋体"/>
                <w:b/>
                <w:kern w:val="0"/>
                <w:sz w:val="24"/>
                <w:szCs w:val="24"/>
              </w:rPr>
              <w:t>（一）服务范围简介</w:t>
            </w:r>
          </w:p>
          <w:p>
            <w:pPr>
              <w:rPr>
                <w:rFonts w:ascii="宋体" w:hAnsi="宋体" w:eastAsia="宋体" w:cs="宋体"/>
                <w:bCs/>
                <w:kern w:val="0"/>
                <w:sz w:val="24"/>
                <w:szCs w:val="24"/>
              </w:rPr>
            </w:pPr>
            <w:r>
              <w:rPr>
                <w:rFonts w:hint="eastAsia" w:ascii="宋体" w:hAnsi="宋体" w:eastAsia="宋体" w:cs="宋体"/>
                <w:bCs/>
                <w:kern w:val="0"/>
                <w:sz w:val="24"/>
                <w:szCs w:val="24"/>
              </w:rPr>
              <w:t>为坚决贯彻落实市局网络安全责任制的有关要求，强化网络与数据安全保障工作，提升我局网络安全管控能力，切实加强单位内部安全防护能力，补齐短板，消除隐患。现拟通过引入第三方专业公司，开展网络安全服务。针对分局的业务系统做</w:t>
            </w:r>
            <w:r>
              <w:rPr>
                <w:rFonts w:hint="eastAsia" w:ascii="宋体" w:hAnsi="宋体" w:eastAsia="宋体" w:cs="宋体"/>
                <w:b w:val="0"/>
                <w:bCs/>
                <w:kern w:val="0"/>
                <w:sz w:val="24"/>
                <w:szCs w:val="24"/>
                <w:lang w:val="en-US" w:eastAsia="zh-CN"/>
              </w:rPr>
              <w:t>资产梳理、重要活动保障及联合检查、日常网络安全维护、应急响应服务、安全培训、安全漏洞扫描、渗透测试</w:t>
            </w:r>
            <w:r>
              <w:rPr>
                <w:rFonts w:hint="eastAsia" w:ascii="宋体" w:hAnsi="宋体" w:eastAsia="宋体" w:cs="宋体"/>
                <w:bCs/>
                <w:kern w:val="0"/>
                <w:sz w:val="24"/>
                <w:szCs w:val="24"/>
              </w:rPr>
              <w:t>等服务，同时对全警、技术人员开展培训工作。从根本上提高分局信息安全方面的整体能力，全面加强系统网络安全防护能力。</w:t>
            </w:r>
          </w:p>
        </w:tc>
        <w:tc>
          <w:tcPr>
            <w:tcW w:w="2766"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4798" w:type="dxa"/>
            <w:vAlign w:val="center"/>
          </w:tcPr>
          <w:p>
            <w:pPr>
              <w:rPr>
                <w:rFonts w:ascii="宋体" w:hAnsi="宋体" w:eastAsia="宋体" w:cs="宋体"/>
                <w:b/>
                <w:kern w:val="0"/>
                <w:sz w:val="24"/>
                <w:szCs w:val="24"/>
              </w:rPr>
            </w:pPr>
            <w:r>
              <w:rPr>
                <w:rFonts w:hint="eastAsia" w:ascii="宋体" w:hAnsi="宋体" w:eastAsia="宋体" w:cs="宋体"/>
                <w:b/>
                <w:kern w:val="0"/>
                <w:sz w:val="24"/>
                <w:szCs w:val="24"/>
              </w:rPr>
              <w:t>（二）检测对象</w:t>
            </w:r>
          </w:p>
          <w:p>
            <w:pPr>
              <w:rPr>
                <w:rFonts w:ascii="宋体" w:hAnsi="宋体" w:eastAsia="宋体" w:cs="宋体"/>
                <w:bCs/>
                <w:kern w:val="0"/>
                <w:sz w:val="24"/>
                <w:szCs w:val="24"/>
              </w:rPr>
            </w:pPr>
            <w:r>
              <w:rPr>
                <w:rFonts w:hint="eastAsia" w:ascii="宋体" w:hAnsi="宋体" w:eastAsia="宋体" w:cs="宋体"/>
                <w:bCs/>
                <w:kern w:val="0"/>
                <w:sz w:val="24"/>
                <w:szCs w:val="24"/>
                <w:lang w:val="zh-CN"/>
              </w:rPr>
              <w:t>我分局信息化资产，包括但不限于信息系统、服务器、数据网络设备和办公终端等。</w:t>
            </w:r>
          </w:p>
        </w:tc>
        <w:tc>
          <w:tcPr>
            <w:tcW w:w="2766"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4798" w:type="dxa"/>
            <w:vAlign w:val="center"/>
          </w:tcPr>
          <w:p>
            <w:pPr>
              <w:rPr>
                <w:rFonts w:ascii="宋体" w:hAnsi="宋体" w:eastAsia="宋体" w:cs="宋体"/>
                <w:b/>
                <w:kern w:val="0"/>
                <w:sz w:val="24"/>
                <w:szCs w:val="24"/>
                <w:lang w:val="zh-CN"/>
              </w:rPr>
            </w:pPr>
            <w:r>
              <w:rPr>
                <w:rFonts w:hint="eastAsia" w:ascii="宋体" w:hAnsi="宋体" w:eastAsia="宋体" w:cs="宋体"/>
                <w:b/>
                <w:kern w:val="0"/>
                <w:sz w:val="24"/>
                <w:szCs w:val="24"/>
                <w:lang w:val="zh-CN"/>
              </w:rPr>
              <w:t>（三）检测目标</w:t>
            </w:r>
          </w:p>
          <w:p>
            <w:pPr>
              <w:rPr>
                <w:rFonts w:ascii="宋体" w:hAnsi="宋体" w:eastAsia="宋体" w:cs="宋体"/>
                <w:bCs/>
                <w:kern w:val="0"/>
                <w:sz w:val="24"/>
                <w:szCs w:val="24"/>
              </w:rPr>
            </w:pPr>
            <w:r>
              <w:rPr>
                <w:rFonts w:hint="eastAsia" w:ascii="宋体" w:hAnsi="宋体" w:eastAsia="宋体" w:cs="宋体"/>
                <w:bCs/>
                <w:kern w:val="0"/>
                <w:sz w:val="24"/>
                <w:szCs w:val="24"/>
                <w:lang w:val="zh-CN"/>
              </w:rPr>
              <w:t>一是进一步发现我分局信息资产的未知风险隐患，增强应对重大网络攻击等威胁风险的能力；二是进一步压实网安主体责任，以训促战，提高风险防范意识；三是进一步提升我分局网络安全防护水平，加固风险隐患监测发现、分析预警、应急处置能力。</w:t>
            </w:r>
          </w:p>
        </w:tc>
        <w:tc>
          <w:tcPr>
            <w:tcW w:w="2766"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4798" w:type="dxa"/>
            <w:vAlign w:val="center"/>
          </w:tcPr>
          <w:p>
            <w:pPr>
              <w:rPr>
                <w:rFonts w:ascii="宋体" w:hAnsi="宋体" w:eastAsia="宋体" w:cs="宋体"/>
                <w:b/>
                <w:kern w:val="0"/>
                <w:sz w:val="24"/>
                <w:szCs w:val="24"/>
              </w:rPr>
            </w:pPr>
            <w:r>
              <w:rPr>
                <w:rFonts w:hint="eastAsia" w:ascii="宋体" w:hAnsi="宋体" w:eastAsia="宋体" w:cs="宋体"/>
                <w:b/>
                <w:kern w:val="0"/>
                <w:sz w:val="24"/>
                <w:szCs w:val="24"/>
              </w:rPr>
              <w:t>（四）时间安排</w:t>
            </w:r>
          </w:p>
          <w:p>
            <w:pPr>
              <w:rPr>
                <w:rFonts w:ascii="宋体" w:hAnsi="宋体" w:eastAsia="宋体" w:cs="宋体"/>
                <w:bCs/>
                <w:kern w:val="0"/>
                <w:sz w:val="24"/>
                <w:szCs w:val="24"/>
              </w:rPr>
            </w:pPr>
            <w:r>
              <w:rPr>
                <w:rFonts w:hint="eastAsia" w:ascii="宋体" w:hAnsi="宋体" w:eastAsia="宋体" w:cs="宋体"/>
                <w:bCs/>
                <w:kern w:val="0"/>
                <w:sz w:val="24"/>
                <w:szCs w:val="24"/>
                <w:lang w:val="zh-CN"/>
              </w:rPr>
              <w:t>自合同签订之日起至2024年7月31日。</w:t>
            </w:r>
          </w:p>
        </w:tc>
        <w:tc>
          <w:tcPr>
            <w:tcW w:w="2766"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4798" w:type="dxa"/>
            <w:vAlign w:val="center"/>
          </w:tcPr>
          <w:p>
            <w:pPr>
              <w:rPr>
                <w:rFonts w:ascii="宋体" w:hAnsi="宋体" w:eastAsia="宋体" w:cs="宋体"/>
                <w:b/>
                <w:kern w:val="0"/>
                <w:sz w:val="24"/>
                <w:szCs w:val="24"/>
              </w:rPr>
            </w:pPr>
            <w:r>
              <w:rPr>
                <w:rFonts w:hint="eastAsia" w:ascii="宋体" w:hAnsi="宋体" w:eastAsia="宋体" w:cs="宋体"/>
                <w:b/>
                <w:kern w:val="0"/>
                <w:sz w:val="24"/>
                <w:szCs w:val="24"/>
              </w:rPr>
              <w:t>（五）检测内容</w:t>
            </w:r>
          </w:p>
          <w:p>
            <w:pPr>
              <w:rPr>
                <w:rFonts w:ascii="宋体" w:hAnsi="宋体" w:eastAsia="宋体" w:cs="宋体"/>
                <w:bCs/>
                <w:kern w:val="0"/>
                <w:sz w:val="24"/>
                <w:szCs w:val="24"/>
              </w:rPr>
            </w:pPr>
            <w:r>
              <w:rPr>
                <w:rFonts w:hint="eastAsia" w:ascii="宋体" w:hAnsi="宋体" w:eastAsia="宋体" w:cs="宋体"/>
                <w:bCs/>
                <w:kern w:val="0"/>
                <w:sz w:val="24"/>
                <w:szCs w:val="24"/>
              </w:rPr>
              <w:t>1.资产梳理</w:t>
            </w:r>
          </w:p>
          <w:p>
            <w:pPr>
              <w:rPr>
                <w:rFonts w:ascii="宋体" w:hAnsi="宋体" w:eastAsia="宋体" w:cs="宋体"/>
                <w:bCs/>
                <w:kern w:val="0"/>
                <w:sz w:val="24"/>
                <w:szCs w:val="24"/>
              </w:rPr>
            </w:pPr>
            <w:r>
              <w:rPr>
                <w:rFonts w:hint="eastAsia" w:ascii="宋体" w:hAnsi="宋体" w:eastAsia="宋体" w:cs="宋体"/>
                <w:bCs/>
                <w:kern w:val="0"/>
                <w:sz w:val="24"/>
                <w:szCs w:val="24"/>
              </w:rPr>
              <w:t>通过技术手段及咨询手段协助龙华分局绘制准确完备的内网资产清单，包括但不限于主机（包含云主机）、中间件、网络设备、域名、接口、IP、端口、管理员等信息的梳理。</w:t>
            </w:r>
          </w:p>
          <w:p>
            <w:pPr>
              <w:rPr>
                <w:rFonts w:ascii="宋体" w:hAnsi="宋体" w:eastAsia="宋体" w:cs="宋体"/>
                <w:bCs/>
                <w:kern w:val="0"/>
                <w:sz w:val="24"/>
                <w:szCs w:val="24"/>
              </w:rPr>
            </w:pPr>
            <w:r>
              <w:rPr>
                <w:rFonts w:hint="eastAsia" w:ascii="宋体" w:hAnsi="宋体" w:eastAsia="宋体" w:cs="宋体"/>
                <w:bCs/>
                <w:kern w:val="0"/>
                <w:sz w:val="24"/>
                <w:szCs w:val="24"/>
              </w:rPr>
              <w:t>2.重要活动保障及联合检查</w:t>
            </w:r>
          </w:p>
          <w:p>
            <w:pPr>
              <w:rPr>
                <w:rFonts w:ascii="宋体" w:hAnsi="宋体" w:eastAsia="宋体" w:cs="宋体"/>
                <w:bCs/>
                <w:kern w:val="0"/>
                <w:sz w:val="24"/>
                <w:szCs w:val="24"/>
              </w:rPr>
            </w:pPr>
            <w:r>
              <w:rPr>
                <w:rFonts w:hint="eastAsia" w:ascii="宋体" w:hAnsi="宋体" w:eastAsia="宋体" w:cs="宋体"/>
                <w:bCs/>
                <w:kern w:val="0"/>
                <w:sz w:val="24"/>
                <w:szCs w:val="24"/>
              </w:rPr>
              <w:t>提供重要时期7*24小时远程网络安全保障工作，包含值守前的工作方案制定、值守中的运维保障、值守后的总结等，防</w:t>
            </w:r>
          </w:p>
          <w:p>
            <w:pPr>
              <w:rPr>
                <w:rFonts w:ascii="宋体" w:hAnsi="宋体" w:eastAsia="宋体" w:cs="宋体"/>
                <w:bCs/>
                <w:kern w:val="0"/>
                <w:sz w:val="24"/>
                <w:szCs w:val="24"/>
              </w:rPr>
            </w:pPr>
            <w:r>
              <w:rPr>
                <w:rFonts w:hint="eastAsia" w:ascii="宋体" w:hAnsi="宋体" w:eastAsia="宋体" w:cs="宋体"/>
                <w:bCs/>
                <w:kern w:val="0"/>
                <w:sz w:val="24"/>
                <w:szCs w:val="24"/>
              </w:rPr>
              <w:t>范网络安全风险、遏止网络安全事件，做好重要时期网络安全保障工作。</w:t>
            </w:r>
          </w:p>
          <w:p>
            <w:pPr>
              <w:rPr>
                <w:rFonts w:ascii="宋体" w:hAnsi="宋体" w:eastAsia="宋体" w:cs="宋体"/>
                <w:bCs/>
                <w:kern w:val="0"/>
                <w:sz w:val="24"/>
                <w:szCs w:val="24"/>
              </w:rPr>
            </w:pPr>
            <w:r>
              <w:rPr>
                <w:rFonts w:hint="eastAsia" w:ascii="宋体" w:hAnsi="宋体" w:eastAsia="宋体" w:cs="宋体"/>
                <w:bCs/>
                <w:kern w:val="0"/>
                <w:sz w:val="24"/>
                <w:szCs w:val="24"/>
              </w:rPr>
              <w:t>3.日常网络安全维护</w:t>
            </w:r>
          </w:p>
          <w:p>
            <w:pPr>
              <w:rPr>
                <w:rFonts w:ascii="宋体" w:hAnsi="宋体" w:eastAsia="宋体" w:cs="宋体"/>
                <w:bCs/>
                <w:kern w:val="0"/>
                <w:sz w:val="24"/>
                <w:szCs w:val="24"/>
              </w:rPr>
            </w:pPr>
            <w:r>
              <w:rPr>
                <w:rFonts w:hint="eastAsia" w:ascii="宋体" w:hAnsi="宋体" w:eastAsia="宋体" w:cs="宋体"/>
                <w:bCs/>
                <w:kern w:val="0"/>
                <w:sz w:val="24"/>
                <w:szCs w:val="24"/>
              </w:rPr>
              <w:t>服务期内负责协助单位开展日常安全运维工作，定期总结汇报，等保、密评测评等工作配合。</w:t>
            </w:r>
          </w:p>
          <w:p>
            <w:pPr>
              <w:rPr>
                <w:rFonts w:ascii="宋体" w:hAnsi="宋体" w:eastAsia="宋体" w:cs="宋体"/>
                <w:bCs/>
                <w:kern w:val="0"/>
                <w:sz w:val="24"/>
                <w:szCs w:val="24"/>
              </w:rPr>
            </w:pPr>
            <w:r>
              <w:rPr>
                <w:rFonts w:hint="eastAsia" w:ascii="宋体" w:hAnsi="宋体" w:eastAsia="宋体" w:cs="宋体"/>
                <w:bCs/>
                <w:kern w:val="0"/>
                <w:sz w:val="24"/>
                <w:szCs w:val="24"/>
              </w:rPr>
              <w:t>4.应急响应服务</w:t>
            </w:r>
          </w:p>
          <w:p>
            <w:pPr>
              <w:rPr>
                <w:rFonts w:ascii="宋体" w:hAnsi="宋体" w:eastAsia="宋体" w:cs="宋体"/>
                <w:bCs/>
                <w:kern w:val="0"/>
                <w:sz w:val="24"/>
                <w:szCs w:val="24"/>
              </w:rPr>
            </w:pPr>
            <w:r>
              <w:rPr>
                <w:rFonts w:hint="eastAsia" w:ascii="宋体" w:hAnsi="宋体" w:eastAsia="宋体" w:cs="宋体"/>
                <w:bCs/>
                <w:kern w:val="0"/>
                <w:sz w:val="24"/>
                <w:szCs w:val="24"/>
              </w:rPr>
              <w:t>根据《深圳市网络安全事件应急预案》的要求，我分局会同具备服务资质的第三方服务公司组成专业应急支撑队伍，当出现紧急情况时，应急支撑队伍将按照规定时间内提供故障响应、技术支持、事件处置等工作，快速处理相关故障，并将相关事件造成的不良影响降至最低。</w:t>
            </w:r>
          </w:p>
          <w:p>
            <w:pPr>
              <w:rPr>
                <w:rFonts w:ascii="宋体" w:hAnsi="宋体" w:eastAsia="宋体" w:cs="宋体"/>
                <w:bCs/>
                <w:kern w:val="0"/>
                <w:sz w:val="24"/>
                <w:szCs w:val="24"/>
              </w:rPr>
            </w:pPr>
            <w:r>
              <w:rPr>
                <w:rFonts w:hint="eastAsia" w:ascii="宋体" w:hAnsi="宋体" w:eastAsia="宋体" w:cs="宋体"/>
                <w:bCs/>
                <w:kern w:val="0"/>
                <w:sz w:val="24"/>
                <w:szCs w:val="24"/>
              </w:rPr>
              <w:t>5.安全培训</w:t>
            </w:r>
          </w:p>
          <w:p>
            <w:pPr>
              <w:rPr>
                <w:rFonts w:ascii="宋体" w:hAnsi="宋体" w:eastAsia="宋体" w:cs="宋体"/>
                <w:bCs/>
                <w:kern w:val="0"/>
                <w:sz w:val="24"/>
                <w:szCs w:val="24"/>
              </w:rPr>
            </w:pPr>
            <w:r>
              <w:rPr>
                <w:rFonts w:hint="eastAsia" w:ascii="宋体" w:hAnsi="宋体" w:eastAsia="宋体" w:cs="宋体"/>
                <w:bCs/>
                <w:kern w:val="0"/>
                <w:sz w:val="24"/>
                <w:szCs w:val="24"/>
              </w:rPr>
              <w:t>根据不同的工作岗位安排有针对性的培训内容，</w:t>
            </w:r>
          </w:p>
          <w:p>
            <w:pPr>
              <w:rPr>
                <w:rFonts w:ascii="宋体" w:hAnsi="宋体" w:eastAsia="宋体" w:cs="宋体"/>
                <w:bCs/>
                <w:kern w:val="0"/>
                <w:sz w:val="24"/>
                <w:szCs w:val="24"/>
              </w:rPr>
            </w:pPr>
            <w:r>
              <w:rPr>
                <w:rFonts w:hint="eastAsia" w:ascii="宋体" w:hAnsi="宋体" w:eastAsia="宋体" w:cs="宋体"/>
                <w:bCs/>
                <w:kern w:val="0"/>
                <w:sz w:val="24"/>
                <w:szCs w:val="24"/>
              </w:rPr>
              <w:t>1）管理人员主要包括：高层管理、业务专家等。</w:t>
            </w:r>
          </w:p>
          <w:p>
            <w:pPr>
              <w:rPr>
                <w:rFonts w:ascii="宋体" w:hAnsi="宋体" w:eastAsia="宋体" w:cs="宋体"/>
                <w:bCs/>
                <w:kern w:val="0"/>
                <w:sz w:val="24"/>
                <w:szCs w:val="24"/>
              </w:rPr>
            </w:pPr>
            <w:r>
              <w:rPr>
                <w:rFonts w:hint="eastAsia" w:ascii="宋体" w:hAnsi="宋体" w:eastAsia="宋体" w:cs="宋体"/>
                <w:bCs/>
                <w:kern w:val="0"/>
                <w:sz w:val="24"/>
                <w:szCs w:val="24"/>
              </w:rPr>
              <w:t>培训目标：对管理人员的培训，目的是使他们了解国家相关部门对系统信息安全管理和建设的相关标准，同时建立起一套具有针对性和适用性的安全管理办法。</w:t>
            </w:r>
          </w:p>
          <w:p>
            <w:pPr>
              <w:rPr>
                <w:rFonts w:ascii="宋体" w:hAnsi="宋体" w:eastAsia="宋体" w:cs="宋体"/>
                <w:bCs/>
                <w:kern w:val="0"/>
                <w:sz w:val="24"/>
                <w:szCs w:val="24"/>
              </w:rPr>
            </w:pPr>
            <w:r>
              <w:rPr>
                <w:rFonts w:hint="eastAsia" w:ascii="宋体" w:hAnsi="宋体" w:eastAsia="宋体" w:cs="宋体"/>
                <w:bCs/>
                <w:kern w:val="0"/>
                <w:sz w:val="24"/>
                <w:szCs w:val="24"/>
              </w:rPr>
              <w:t>2）技术人员主要包括：操作人员、维护人员等。</w:t>
            </w:r>
          </w:p>
          <w:p>
            <w:pPr>
              <w:rPr>
                <w:rFonts w:ascii="宋体" w:hAnsi="宋体" w:eastAsia="宋体" w:cs="宋体"/>
                <w:bCs/>
                <w:kern w:val="0"/>
                <w:sz w:val="24"/>
                <w:szCs w:val="24"/>
              </w:rPr>
            </w:pPr>
            <w:r>
              <w:rPr>
                <w:rFonts w:hint="eastAsia" w:ascii="宋体" w:hAnsi="宋体" w:eastAsia="宋体" w:cs="宋体"/>
                <w:bCs/>
                <w:kern w:val="0"/>
                <w:sz w:val="24"/>
                <w:szCs w:val="24"/>
              </w:rPr>
              <w:t>培训目标：对技术人员的培训，目的是使他们了解信息系统所面临的严峻安全威胁和挑战，以及如何进行全面有效的安全防护措施。</w:t>
            </w:r>
          </w:p>
          <w:p>
            <w:pPr>
              <w:rPr>
                <w:rFonts w:ascii="宋体" w:hAnsi="宋体" w:eastAsia="宋体" w:cs="宋体"/>
                <w:bCs/>
                <w:kern w:val="0"/>
                <w:sz w:val="24"/>
                <w:szCs w:val="24"/>
              </w:rPr>
            </w:pPr>
            <w:r>
              <w:rPr>
                <w:rFonts w:hint="eastAsia" w:ascii="宋体" w:hAnsi="宋体" w:eastAsia="宋体" w:cs="宋体"/>
                <w:bCs/>
                <w:kern w:val="0"/>
                <w:sz w:val="24"/>
                <w:szCs w:val="24"/>
              </w:rPr>
              <w:t>3）全员培训主要包括：安全意识培训等。</w:t>
            </w:r>
          </w:p>
          <w:p>
            <w:pPr>
              <w:rPr>
                <w:rFonts w:ascii="宋体" w:hAnsi="宋体" w:eastAsia="宋体" w:cs="宋体"/>
                <w:bCs/>
                <w:kern w:val="0"/>
                <w:sz w:val="24"/>
                <w:szCs w:val="24"/>
              </w:rPr>
            </w:pPr>
            <w:r>
              <w:rPr>
                <w:rFonts w:hint="eastAsia" w:ascii="宋体" w:hAnsi="宋体" w:eastAsia="宋体" w:cs="宋体"/>
                <w:bCs/>
                <w:kern w:val="0"/>
                <w:sz w:val="24"/>
                <w:szCs w:val="24"/>
              </w:rPr>
              <w:t>培训目标：全体成员的培训，目的是让大家对信息安全的有初步的认识和逐步提高安全意识，让安全事故可以得到有效的避免。</w:t>
            </w:r>
          </w:p>
          <w:p>
            <w:pPr>
              <w:rPr>
                <w:rFonts w:ascii="宋体" w:hAnsi="宋体" w:eastAsia="宋体" w:cs="宋体"/>
                <w:bCs/>
                <w:kern w:val="0"/>
                <w:sz w:val="24"/>
                <w:szCs w:val="24"/>
              </w:rPr>
            </w:pPr>
            <w:r>
              <w:rPr>
                <w:rFonts w:hint="eastAsia" w:ascii="宋体" w:hAnsi="宋体" w:eastAsia="宋体" w:cs="宋体"/>
                <w:bCs/>
                <w:kern w:val="0"/>
                <w:sz w:val="24"/>
                <w:szCs w:val="24"/>
              </w:rPr>
              <w:t>6.安全漏洞扫描</w:t>
            </w:r>
          </w:p>
          <w:p>
            <w:pPr>
              <w:rPr>
                <w:rFonts w:ascii="宋体" w:hAnsi="宋体" w:eastAsia="宋体" w:cs="宋体"/>
                <w:bCs/>
                <w:kern w:val="0"/>
                <w:sz w:val="24"/>
                <w:szCs w:val="24"/>
              </w:rPr>
            </w:pPr>
            <w:r>
              <w:rPr>
                <w:rFonts w:hint="eastAsia" w:ascii="宋体" w:hAnsi="宋体" w:eastAsia="宋体" w:cs="宋体"/>
                <w:bCs/>
                <w:kern w:val="0"/>
                <w:sz w:val="24"/>
                <w:szCs w:val="24"/>
              </w:rPr>
              <w:t>针对公安网应用系统、视频专网应用系统、互联网应用系统和服务器提供漏洞扫描服务，出具《漏洞扫描报告》。报告内容包含信息系统存在的安全漏洞及危害、扫描对象、扫描工具、扫描时间、漏洞分析（漏洞类型、漏洞所在页面、漏洞原理、漏洞利用、漏洞危害等）、加固修复建议、解决方案等。</w:t>
            </w:r>
          </w:p>
          <w:p>
            <w:pPr>
              <w:rPr>
                <w:rFonts w:ascii="宋体" w:hAnsi="宋体" w:eastAsia="宋体" w:cs="宋体"/>
                <w:bCs/>
                <w:kern w:val="0"/>
                <w:sz w:val="24"/>
                <w:szCs w:val="24"/>
              </w:rPr>
            </w:pPr>
            <w:r>
              <w:rPr>
                <w:rFonts w:hint="eastAsia" w:ascii="宋体" w:hAnsi="宋体" w:eastAsia="宋体" w:cs="宋体"/>
                <w:bCs/>
                <w:kern w:val="0"/>
                <w:sz w:val="24"/>
                <w:szCs w:val="24"/>
              </w:rPr>
              <w:t>7.渗透测试</w:t>
            </w:r>
          </w:p>
          <w:p>
            <w:pPr>
              <w:rPr>
                <w:rFonts w:ascii="宋体" w:hAnsi="宋体" w:eastAsia="宋体" w:cs="宋体"/>
                <w:bCs/>
                <w:kern w:val="0"/>
                <w:sz w:val="24"/>
                <w:szCs w:val="24"/>
              </w:rPr>
            </w:pPr>
            <w:r>
              <w:rPr>
                <w:rFonts w:hint="eastAsia" w:ascii="宋体" w:hAnsi="宋体" w:eastAsia="宋体" w:cs="宋体"/>
                <w:bCs/>
                <w:kern w:val="0"/>
                <w:sz w:val="24"/>
                <w:szCs w:val="24"/>
              </w:rPr>
              <w:t>针对公安网应用系统、视频专网应用系统、互联网应用系统和服务器，通过利用目标应用系统的安全弱点模拟真正的黑客入侵攻击方法，以人工渗透为主，以漏洞扫描工具为辅，在保证整个渗透测试过程都在可以控制和调整的范围之内尽可能的获取目标信息系统的管理权限以及敏感信息，从黑客角度发现问题。</w:t>
            </w:r>
          </w:p>
        </w:tc>
        <w:tc>
          <w:tcPr>
            <w:tcW w:w="2766"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c>
          <w:tcPr>
            <w:tcW w:w="738" w:type="dxa"/>
            <w:vAlign w:val="center"/>
          </w:tcPr>
          <w:p>
            <w:pPr>
              <w:jc w:val="center"/>
              <w:rPr>
                <w:rFonts w:ascii="宋体" w:hAnsi="宋体" w:eastAsia="宋体" w:cs="宋体"/>
                <w:kern w:val="0"/>
                <w:sz w:val="24"/>
                <w:szCs w:val="24"/>
              </w:rPr>
            </w:pPr>
          </w:p>
        </w:tc>
      </w:tr>
    </w:tbl>
    <w:p>
      <w:pPr>
        <w:pStyle w:val="44"/>
        <w:spacing w:line="360" w:lineRule="auto"/>
        <w:ind w:firstLine="547" w:firstLineChars="228"/>
        <w:jc w:val="left"/>
        <w:rPr>
          <w:rFonts w:ascii="宋体" w:hAnsi="宋体" w:cs="宋体"/>
          <w:sz w:val="24"/>
        </w:rPr>
      </w:pPr>
    </w:p>
    <w:p>
      <w:pPr>
        <w:pStyle w:val="44"/>
        <w:spacing w:line="360" w:lineRule="auto"/>
        <w:ind w:firstLine="547" w:firstLineChars="228"/>
        <w:jc w:val="left"/>
        <w:rPr>
          <w:rFonts w:ascii="宋体" w:hAnsi="宋体" w:cs="宋体"/>
          <w:sz w:val="24"/>
        </w:rPr>
      </w:pPr>
      <w:r>
        <w:rPr>
          <w:rFonts w:hint="eastAsia" w:ascii="宋体" w:hAnsi="宋体" w:cs="宋体"/>
          <w:sz w:val="24"/>
        </w:rPr>
        <w:t>注：供应商需</w:t>
      </w:r>
      <w:r>
        <w:rPr>
          <w:rFonts w:hint="eastAsia" w:ascii="宋体" w:hAnsi="宋体" w:cs="宋体"/>
          <w:b/>
          <w:sz w:val="24"/>
        </w:rPr>
        <w:t>逐项完整填写</w:t>
      </w:r>
      <w:r>
        <w:rPr>
          <w:rFonts w:hint="eastAsia" w:ascii="宋体" w:hAnsi="宋体" w:cs="宋体"/>
          <w:sz w:val="24"/>
        </w:rPr>
        <w:t>，</w:t>
      </w:r>
      <w:r>
        <w:rPr>
          <w:rFonts w:hint="eastAsia" w:ascii="宋体" w:hAnsi="宋体" w:cs="宋体"/>
          <w:snapToGrid w:val="0"/>
          <w:kern w:val="0"/>
          <w:sz w:val="24"/>
        </w:rPr>
        <w:t>应答文件技术要求响应条款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44"/>
        <w:spacing w:line="360" w:lineRule="auto"/>
        <w:ind w:firstLine="547" w:firstLineChars="228"/>
        <w:jc w:val="left"/>
        <w:rPr>
          <w:rFonts w:ascii="宋体" w:hAnsi="宋体" w:cs="宋体"/>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pStyle w:val="44"/>
        <w:spacing w:line="360" w:lineRule="auto"/>
        <w:ind w:firstLine="547" w:firstLineChars="228"/>
        <w:jc w:val="left"/>
        <w:rPr>
          <w:rFonts w:ascii="宋体" w:hAnsi="宋体" w:cs="宋体"/>
          <w:sz w:val="24"/>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cs="宋体"/>
          <w:szCs w:val="21"/>
        </w:rPr>
      </w:pPr>
      <w:r>
        <w:rPr>
          <w:rFonts w:hint="eastAsia" w:ascii="宋体" w:hAnsi="宋体" w:cs="宋体"/>
          <w:szCs w:val="21"/>
        </w:rPr>
        <w:br w:type="page"/>
      </w:r>
    </w:p>
    <w:p>
      <w:pPr>
        <w:pStyle w:val="4"/>
        <w:rPr>
          <w:rStyle w:val="42"/>
          <w:b/>
          <w:bCs/>
        </w:rPr>
        <w:sectPr>
          <w:headerReference r:id="rId3" w:type="default"/>
          <w:footerReference r:id="rId4" w:type="default"/>
          <w:pgSz w:w="11906" w:h="16838"/>
          <w:pgMar w:top="1610" w:right="1896" w:bottom="1610" w:left="1010" w:header="851" w:footer="992" w:gutter="0"/>
          <w:cols w:space="425" w:num="1"/>
          <w:docGrid w:type="lines" w:linePitch="312" w:charSpace="0"/>
        </w:sectPr>
      </w:pPr>
    </w:p>
    <w:p>
      <w:pPr>
        <w:pStyle w:val="4"/>
        <w:numPr>
          <w:ilvl w:val="0"/>
          <w:numId w:val="1"/>
        </w:numPr>
        <w:rPr>
          <w:rStyle w:val="42"/>
          <w:b/>
          <w:bCs/>
        </w:rPr>
      </w:pPr>
      <w:bookmarkStart w:id="111" w:name="_Toc14888"/>
      <w:bookmarkStart w:id="112" w:name="_Toc21085"/>
      <w:bookmarkStart w:id="113" w:name="_Toc9225"/>
      <w:r>
        <w:rPr>
          <w:rStyle w:val="42"/>
          <w:rFonts w:hint="eastAsia"/>
          <w:b/>
          <w:bCs/>
        </w:rPr>
        <w:t>投标报价表</w:t>
      </w:r>
      <w:bookmarkEnd w:id="111"/>
      <w:bookmarkEnd w:id="112"/>
      <w:bookmarkEnd w:id="113"/>
    </w:p>
    <w:p>
      <w:pPr>
        <w:pStyle w:val="4"/>
        <w:rPr>
          <w:rStyle w:val="42"/>
          <w:b/>
          <w:bCs/>
        </w:rPr>
      </w:pPr>
      <w:bookmarkStart w:id="114" w:name="_Toc12445"/>
      <w:bookmarkStart w:id="115" w:name="_Toc18542"/>
      <w:bookmarkStart w:id="116" w:name="_Toc23714"/>
      <w:r>
        <w:rPr>
          <w:rStyle w:val="42"/>
          <w:rFonts w:hint="eastAsia"/>
          <w:b/>
          <w:bCs/>
        </w:rPr>
        <w:t>（一）开标一览表</w:t>
      </w:r>
      <w:bookmarkEnd w:id="114"/>
      <w:bookmarkEnd w:id="115"/>
      <w:bookmarkEnd w:id="116"/>
    </w:p>
    <w:p>
      <w:pPr>
        <w:spacing w:line="400" w:lineRule="exact"/>
        <w:rPr>
          <w:rStyle w:val="47"/>
          <w:rFonts w:eastAsia="宋体"/>
        </w:rPr>
      </w:pPr>
    </w:p>
    <w:p>
      <w:pPr>
        <w:tabs>
          <w:tab w:val="left" w:pos="7740"/>
        </w:tabs>
        <w:adjustRightInd w:val="0"/>
        <w:snapToGrid w:val="0"/>
        <w:spacing w:line="360" w:lineRule="auto"/>
        <w:rPr>
          <w:rFonts w:ascii="宋体" w:hAnsi="宋体" w:eastAsia="宋体"/>
          <w:sz w:val="24"/>
          <w:szCs w:val="24"/>
          <w:u w:val="single"/>
        </w:rPr>
      </w:pPr>
      <w:r>
        <w:rPr>
          <w:rFonts w:hint="eastAsia" w:ascii="宋体" w:hAnsi="宋体" w:eastAsia="宋体"/>
          <w:sz w:val="24"/>
          <w:szCs w:val="24"/>
        </w:rPr>
        <w:t>项目名称：</w:t>
      </w:r>
      <w:r>
        <w:rPr>
          <w:rFonts w:hint="eastAsia" w:ascii="宋体" w:hAnsi="宋体" w:eastAsia="宋体"/>
          <w:sz w:val="24"/>
          <w:szCs w:val="24"/>
          <w:u w:val="single"/>
        </w:rPr>
        <w:t xml:space="preserve">                             </w:t>
      </w:r>
      <w:r>
        <w:rPr>
          <w:rFonts w:hint="eastAsia" w:ascii="宋体" w:hAnsi="宋体" w:eastAsia="宋体"/>
          <w:sz w:val="24"/>
          <w:szCs w:val="24"/>
        </w:rPr>
        <w:t xml:space="preserve">   项目编号：</w:t>
      </w:r>
      <w:r>
        <w:rPr>
          <w:rFonts w:hint="eastAsia" w:ascii="宋体" w:hAnsi="宋体" w:eastAsia="宋体"/>
          <w:sz w:val="24"/>
          <w:szCs w:val="24"/>
          <w:u w:val="single"/>
        </w:rPr>
        <w:t xml:space="preserve">                     </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631"/>
        <w:gridCol w:w="4075"/>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项目名称</w:t>
            </w:r>
          </w:p>
        </w:tc>
        <w:tc>
          <w:tcPr>
            <w:tcW w:w="916"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数量</w:t>
            </w:r>
          </w:p>
        </w:tc>
        <w:tc>
          <w:tcPr>
            <w:tcW w:w="2289"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投标报价</w:t>
            </w:r>
          </w:p>
          <w:p>
            <w:pPr>
              <w:adjustRightInd w:val="0"/>
              <w:snapToGrid w:val="0"/>
              <w:jc w:val="center"/>
              <w:rPr>
                <w:rFonts w:ascii="宋体" w:hAnsi="宋体" w:eastAsia="宋体"/>
                <w:b/>
                <w:sz w:val="24"/>
                <w:szCs w:val="24"/>
              </w:rPr>
            </w:pPr>
            <w:r>
              <w:rPr>
                <w:rFonts w:hint="eastAsia" w:ascii="宋体" w:hAnsi="宋体" w:eastAsia="宋体"/>
                <w:b/>
                <w:sz w:val="24"/>
                <w:szCs w:val="24"/>
              </w:rPr>
              <w:t>（人民币 元）</w:t>
            </w:r>
          </w:p>
        </w:tc>
        <w:tc>
          <w:tcPr>
            <w:tcW w:w="668"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pPr>
              <w:adjustRightInd w:val="0"/>
              <w:snapToGrid w:val="0"/>
              <w:jc w:val="center"/>
              <w:rPr>
                <w:rFonts w:ascii="宋体" w:hAnsi="宋体" w:eastAsia="宋体"/>
                <w:bCs/>
                <w:sz w:val="24"/>
                <w:szCs w:val="24"/>
              </w:rPr>
            </w:pPr>
          </w:p>
        </w:tc>
        <w:tc>
          <w:tcPr>
            <w:tcW w:w="916" w:type="pct"/>
            <w:vAlign w:val="center"/>
          </w:tcPr>
          <w:p>
            <w:pPr>
              <w:adjustRightInd w:val="0"/>
              <w:snapToGrid w:val="0"/>
              <w:jc w:val="center"/>
              <w:rPr>
                <w:rFonts w:ascii="宋体" w:hAnsi="宋体" w:eastAsia="宋体"/>
                <w:bCs/>
                <w:sz w:val="24"/>
                <w:szCs w:val="24"/>
              </w:rPr>
            </w:pPr>
            <w:r>
              <w:rPr>
                <w:rFonts w:hint="eastAsia" w:ascii="宋体" w:hAnsi="宋体" w:eastAsia="宋体"/>
                <w:bCs/>
                <w:sz w:val="24"/>
                <w:szCs w:val="24"/>
              </w:rPr>
              <w:t>1项</w:t>
            </w:r>
          </w:p>
        </w:tc>
        <w:tc>
          <w:tcPr>
            <w:tcW w:w="2289" w:type="pct"/>
            <w:vAlign w:val="center"/>
          </w:tcPr>
          <w:p>
            <w:pPr>
              <w:adjustRightInd w:val="0"/>
              <w:snapToGrid w:val="0"/>
              <w:rPr>
                <w:rFonts w:ascii="宋体" w:hAnsi="宋体" w:eastAsia="宋体"/>
                <w:bCs/>
                <w:sz w:val="24"/>
                <w:szCs w:val="24"/>
                <w:u w:val="single"/>
              </w:rPr>
            </w:pPr>
            <w:r>
              <w:rPr>
                <w:rFonts w:hint="eastAsia" w:ascii="宋体" w:hAnsi="宋体" w:eastAsia="宋体"/>
                <w:bCs/>
                <w:sz w:val="24"/>
                <w:szCs w:val="24"/>
              </w:rPr>
              <w:t>小写：</w:t>
            </w:r>
            <w:r>
              <w:rPr>
                <w:rFonts w:hint="eastAsia" w:ascii="Batang" w:hAnsi="Batang" w:eastAsia="Batang"/>
                <w:bCs/>
                <w:sz w:val="24"/>
                <w:szCs w:val="24"/>
              </w:rPr>
              <w:t>￥</w:t>
            </w:r>
          </w:p>
          <w:p>
            <w:pPr>
              <w:adjustRightInd w:val="0"/>
              <w:snapToGrid w:val="0"/>
              <w:rPr>
                <w:rFonts w:ascii="宋体" w:hAnsi="宋体" w:eastAsia="宋体"/>
                <w:bCs/>
                <w:sz w:val="24"/>
                <w:szCs w:val="24"/>
                <w:u w:val="single"/>
              </w:rPr>
            </w:pPr>
            <w:r>
              <w:rPr>
                <w:rFonts w:hint="eastAsia" w:ascii="宋体" w:hAnsi="宋体" w:eastAsia="宋体"/>
                <w:bCs/>
                <w:sz w:val="24"/>
                <w:szCs w:val="24"/>
              </w:rPr>
              <w:t>大写：人民币</w:t>
            </w:r>
          </w:p>
        </w:tc>
        <w:tc>
          <w:tcPr>
            <w:tcW w:w="668" w:type="pct"/>
            <w:vAlign w:val="center"/>
          </w:tcPr>
          <w:p>
            <w:pPr>
              <w:pStyle w:val="48"/>
              <w:spacing w:line="240" w:lineRule="auto"/>
              <w:ind w:left="-44" w:leftChars="-21" w:right="-69" w:rightChars="-33"/>
              <w:rPr>
                <w:rFonts w:ascii="宋体" w:hAnsi="宋体"/>
                <w:bCs/>
                <w:szCs w:val="24"/>
              </w:rPr>
            </w:pP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_____________ </w:t>
      </w:r>
    </w:p>
    <w:p>
      <w:pPr>
        <w:spacing w:line="360" w:lineRule="auto"/>
        <w:rPr>
          <w:rFonts w:ascii="宋体" w:hAnsi="宋体" w:eastAsia="宋体"/>
          <w:sz w:val="24"/>
          <w:szCs w:val="24"/>
        </w:rPr>
      </w:pPr>
      <w:r>
        <w:rPr>
          <w:rFonts w:hint="eastAsia" w:ascii="宋体" w:eastAsia="宋体" w:cs="宋体"/>
          <w:kern w:val="0"/>
          <w:sz w:val="24"/>
          <w:szCs w:val="24"/>
        </w:rPr>
        <w:t>法定代表人或其授权代表签字</w:t>
      </w:r>
      <w:r>
        <w:rPr>
          <w:rFonts w:hint="eastAsia" w:ascii="宋体" w:hAnsi="宋体" w:eastAsia="宋体"/>
          <w:sz w:val="24"/>
          <w:szCs w:val="24"/>
        </w:rPr>
        <w:t>：</w:t>
      </w:r>
      <w:r>
        <w:rPr>
          <w:rFonts w:ascii="宋体" w:hAnsi="宋体" w:eastAsia="宋体"/>
          <w:sz w:val="24"/>
          <w:szCs w:val="24"/>
        </w:rPr>
        <w:t xml:space="preserve">____________ </w:t>
      </w:r>
    </w:p>
    <w:p>
      <w:pPr>
        <w:autoSpaceDE w:val="0"/>
        <w:autoSpaceDN w:val="0"/>
        <w:adjustRightInd w:val="0"/>
        <w:rPr>
          <w:rFonts w:ascii="宋体" w:hAnsi="宋体" w:eastAsia="宋体"/>
          <w:b/>
          <w:sz w:val="24"/>
          <w:szCs w:val="24"/>
          <w:lang w:val="zh-CN"/>
        </w:rPr>
      </w:pPr>
      <w:r>
        <w:rPr>
          <w:rFonts w:hint="eastAsia" w:ascii="宋体" w:hAnsi="宋体" w:eastAsia="宋体"/>
          <w:sz w:val="24"/>
          <w:szCs w:val="24"/>
        </w:rPr>
        <w:t>日期：   年   月   日</w:t>
      </w:r>
    </w:p>
    <w:p>
      <w:pPr>
        <w:pStyle w:val="44"/>
        <w:spacing w:line="360" w:lineRule="auto"/>
        <w:ind w:firstLine="478" w:firstLineChars="228"/>
        <w:jc w:val="left"/>
      </w:pPr>
    </w:p>
    <w:p>
      <w:pPr>
        <w:pStyle w:val="44"/>
        <w:spacing w:line="360" w:lineRule="auto"/>
        <w:ind w:firstLine="478" w:firstLineChars="228"/>
        <w:jc w:val="left"/>
      </w:pPr>
    </w:p>
    <w:p>
      <w:pPr>
        <w:pStyle w:val="44"/>
        <w:spacing w:line="360" w:lineRule="auto"/>
        <w:ind w:firstLine="478" w:firstLineChars="228"/>
        <w:jc w:val="left"/>
      </w:pPr>
    </w:p>
    <w:p>
      <w:pPr>
        <w:rPr>
          <w:rStyle w:val="42"/>
        </w:rPr>
      </w:pPr>
      <w:r>
        <w:rPr>
          <w:rStyle w:val="42"/>
          <w:rFonts w:hint="eastAsia"/>
        </w:rPr>
        <w:br w:type="page"/>
      </w:r>
    </w:p>
    <w:p>
      <w:pPr>
        <w:pStyle w:val="4"/>
        <w:numPr>
          <w:ilvl w:val="0"/>
          <w:numId w:val="2"/>
        </w:numPr>
      </w:pPr>
      <w:bookmarkStart w:id="117" w:name="_Toc20693"/>
      <w:bookmarkStart w:id="118" w:name="_Toc3819"/>
      <w:bookmarkStart w:id="119" w:name="_Toc31549"/>
      <w:r>
        <w:rPr>
          <w:rStyle w:val="42"/>
          <w:rFonts w:hint="eastAsia"/>
          <w:b/>
          <w:bCs/>
        </w:rPr>
        <w:t>分项报价表</w:t>
      </w:r>
      <w:bookmarkEnd w:id="117"/>
      <w:bookmarkEnd w:id="118"/>
      <w:bookmarkEnd w:id="119"/>
    </w:p>
    <w:tbl>
      <w:tblPr>
        <w:tblStyle w:val="30"/>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3584"/>
        <w:gridCol w:w="862"/>
        <w:gridCol w:w="862"/>
        <w:gridCol w:w="1300"/>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556" w:type="pct"/>
            <w:vAlign w:val="center"/>
          </w:tcPr>
          <w:p>
            <w:pPr>
              <w:jc w:val="center"/>
              <w:rPr>
                <w:rFonts w:eastAsia="宋体"/>
                <w:sz w:val="24"/>
                <w:szCs w:val="24"/>
              </w:rPr>
            </w:pPr>
            <w:r>
              <w:rPr>
                <w:rFonts w:hint="eastAsia" w:eastAsia="宋体"/>
                <w:sz w:val="24"/>
                <w:szCs w:val="24"/>
              </w:rPr>
              <w:t>序号</w:t>
            </w:r>
          </w:p>
        </w:tc>
        <w:tc>
          <w:tcPr>
            <w:tcW w:w="2013" w:type="pct"/>
            <w:vAlign w:val="center"/>
          </w:tcPr>
          <w:p>
            <w:pPr>
              <w:jc w:val="center"/>
              <w:rPr>
                <w:rFonts w:eastAsia="宋体"/>
                <w:sz w:val="24"/>
                <w:szCs w:val="24"/>
              </w:rPr>
            </w:pPr>
            <w:r>
              <w:rPr>
                <w:rFonts w:hint="eastAsia" w:eastAsia="宋体"/>
                <w:sz w:val="24"/>
                <w:szCs w:val="24"/>
              </w:rPr>
              <w:t>服务内容</w:t>
            </w:r>
          </w:p>
        </w:tc>
        <w:tc>
          <w:tcPr>
            <w:tcW w:w="484" w:type="pct"/>
            <w:vAlign w:val="center"/>
          </w:tcPr>
          <w:p>
            <w:pPr>
              <w:jc w:val="center"/>
              <w:rPr>
                <w:rFonts w:eastAsia="宋体"/>
                <w:sz w:val="24"/>
                <w:szCs w:val="24"/>
              </w:rPr>
            </w:pPr>
            <w:r>
              <w:rPr>
                <w:rFonts w:hint="eastAsia" w:eastAsia="宋体"/>
                <w:sz w:val="24"/>
                <w:szCs w:val="24"/>
              </w:rPr>
              <w:t>单位</w:t>
            </w:r>
          </w:p>
        </w:tc>
        <w:tc>
          <w:tcPr>
            <w:tcW w:w="484" w:type="pct"/>
            <w:vAlign w:val="center"/>
          </w:tcPr>
          <w:p>
            <w:pPr>
              <w:jc w:val="center"/>
              <w:rPr>
                <w:rFonts w:eastAsia="宋体"/>
                <w:sz w:val="24"/>
                <w:szCs w:val="24"/>
              </w:rPr>
            </w:pPr>
            <w:r>
              <w:rPr>
                <w:rFonts w:hint="eastAsia" w:eastAsia="宋体"/>
                <w:sz w:val="24"/>
                <w:szCs w:val="24"/>
              </w:rPr>
              <w:t>数量</w:t>
            </w:r>
          </w:p>
        </w:tc>
        <w:tc>
          <w:tcPr>
            <w:tcW w:w="730" w:type="pct"/>
            <w:vAlign w:val="center"/>
          </w:tcPr>
          <w:p>
            <w:pPr>
              <w:jc w:val="center"/>
              <w:rPr>
                <w:rFonts w:eastAsia="宋体"/>
                <w:sz w:val="24"/>
                <w:szCs w:val="24"/>
              </w:rPr>
            </w:pPr>
            <w:r>
              <w:rPr>
                <w:rFonts w:hint="eastAsia" w:eastAsia="宋体"/>
                <w:sz w:val="24"/>
                <w:szCs w:val="24"/>
              </w:rPr>
              <w:t>单价（元）</w:t>
            </w:r>
          </w:p>
        </w:tc>
        <w:tc>
          <w:tcPr>
            <w:tcW w:w="731" w:type="pct"/>
            <w:vAlign w:val="center"/>
          </w:tcPr>
          <w:p>
            <w:pPr>
              <w:jc w:val="center"/>
              <w:rPr>
                <w:rFonts w:eastAsia="宋体"/>
                <w:sz w:val="24"/>
                <w:szCs w:val="24"/>
              </w:rPr>
            </w:pPr>
            <w:r>
              <w:rPr>
                <w:rFonts w:hint="eastAsia" w:eastAsia="宋体"/>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556" w:type="pct"/>
            <w:vAlign w:val="center"/>
          </w:tcPr>
          <w:p>
            <w:pPr>
              <w:jc w:val="center"/>
              <w:rPr>
                <w:rFonts w:ascii="宋体" w:hAnsi="宋体" w:eastAsia="宋体" w:cs="宋体"/>
                <w:sz w:val="24"/>
                <w:szCs w:val="24"/>
              </w:rPr>
            </w:pPr>
            <w:r>
              <w:rPr>
                <w:rFonts w:hint="eastAsia" w:ascii="宋体" w:hAnsi="宋体" w:eastAsia="宋体" w:cs="宋体"/>
                <w:sz w:val="24"/>
                <w:szCs w:val="24"/>
              </w:rPr>
              <w:t>1</w:t>
            </w:r>
          </w:p>
        </w:tc>
        <w:tc>
          <w:tcPr>
            <w:tcW w:w="2013" w:type="pct"/>
            <w:vAlign w:val="center"/>
          </w:tcPr>
          <w:p>
            <w:pPr>
              <w:jc w:val="center"/>
              <w:rPr>
                <w:rFonts w:eastAsia="宋体"/>
                <w:sz w:val="24"/>
                <w:szCs w:val="24"/>
              </w:rPr>
            </w:pPr>
          </w:p>
        </w:tc>
        <w:tc>
          <w:tcPr>
            <w:tcW w:w="484" w:type="pct"/>
            <w:vAlign w:val="center"/>
          </w:tcPr>
          <w:p>
            <w:pPr>
              <w:jc w:val="center"/>
              <w:rPr>
                <w:rFonts w:eastAsia="宋体"/>
                <w:sz w:val="24"/>
                <w:szCs w:val="24"/>
              </w:rPr>
            </w:pPr>
          </w:p>
        </w:tc>
        <w:tc>
          <w:tcPr>
            <w:tcW w:w="484" w:type="pct"/>
            <w:vAlign w:val="center"/>
          </w:tcPr>
          <w:p>
            <w:pPr>
              <w:jc w:val="center"/>
              <w:rPr>
                <w:rFonts w:ascii="宋体" w:hAnsi="宋体" w:eastAsia="宋体" w:cs="宋体"/>
                <w:sz w:val="24"/>
                <w:szCs w:val="24"/>
              </w:rPr>
            </w:pPr>
          </w:p>
        </w:tc>
        <w:tc>
          <w:tcPr>
            <w:tcW w:w="730" w:type="pct"/>
            <w:vAlign w:val="center"/>
          </w:tcPr>
          <w:p>
            <w:pPr>
              <w:jc w:val="center"/>
              <w:rPr>
                <w:rFonts w:eastAsia="宋体"/>
                <w:sz w:val="24"/>
                <w:szCs w:val="24"/>
              </w:rPr>
            </w:pPr>
          </w:p>
        </w:tc>
        <w:tc>
          <w:tcPr>
            <w:tcW w:w="731" w:type="pct"/>
            <w:vAlign w:val="center"/>
          </w:tcPr>
          <w:p>
            <w:pPr>
              <w:jc w:val="center"/>
              <w:rPr>
                <w:rFonts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556" w:type="pct"/>
            <w:vAlign w:val="center"/>
          </w:tcPr>
          <w:p>
            <w:pPr>
              <w:jc w:val="center"/>
              <w:rPr>
                <w:rFonts w:ascii="宋体" w:hAnsi="宋体" w:eastAsia="宋体" w:cs="宋体"/>
                <w:sz w:val="24"/>
                <w:szCs w:val="24"/>
              </w:rPr>
            </w:pPr>
            <w:r>
              <w:rPr>
                <w:rFonts w:hint="eastAsia" w:ascii="宋体" w:hAnsi="宋体" w:eastAsia="宋体" w:cs="宋体"/>
                <w:sz w:val="24"/>
                <w:szCs w:val="24"/>
              </w:rPr>
              <w:t>...</w:t>
            </w:r>
          </w:p>
        </w:tc>
        <w:tc>
          <w:tcPr>
            <w:tcW w:w="2013" w:type="pct"/>
            <w:vAlign w:val="center"/>
          </w:tcPr>
          <w:p>
            <w:pPr>
              <w:jc w:val="center"/>
              <w:rPr>
                <w:rFonts w:eastAsia="宋体"/>
                <w:sz w:val="24"/>
                <w:szCs w:val="24"/>
              </w:rPr>
            </w:pPr>
          </w:p>
        </w:tc>
        <w:tc>
          <w:tcPr>
            <w:tcW w:w="484" w:type="pct"/>
            <w:vAlign w:val="center"/>
          </w:tcPr>
          <w:p>
            <w:pPr>
              <w:jc w:val="center"/>
              <w:rPr>
                <w:rFonts w:eastAsia="宋体"/>
                <w:sz w:val="24"/>
                <w:szCs w:val="24"/>
              </w:rPr>
            </w:pPr>
          </w:p>
        </w:tc>
        <w:tc>
          <w:tcPr>
            <w:tcW w:w="484" w:type="pct"/>
            <w:vAlign w:val="center"/>
          </w:tcPr>
          <w:p>
            <w:pPr>
              <w:jc w:val="center"/>
              <w:rPr>
                <w:rFonts w:ascii="宋体" w:hAnsi="宋体" w:eastAsia="宋体" w:cs="宋体"/>
                <w:sz w:val="24"/>
                <w:szCs w:val="24"/>
              </w:rPr>
            </w:pPr>
          </w:p>
        </w:tc>
        <w:tc>
          <w:tcPr>
            <w:tcW w:w="730" w:type="pct"/>
            <w:vAlign w:val="center"/>
          </w:tcPr>
          <w:p>
            <w:pPr>
              <w:jc w:val="center"/>
              <w:rPr>
                <w:rFonts w:eastAsia="宋体"/>
                <w:sz w:val="24"/>
                <w:szCs w:val="24"/>
              </w:rPr>
            </w:pPr>
          </w:p>
        </w:tc>
        <w:tc>
          <w:tcPr>
            <w:tcW w:w="731" w:type="pct"/>
            <w:vAlign w:val="center"/>
          </w:tcPr>
          <w:p>
            <w:pPr>
              <w:jc w:val="center"/>
              <w:rPr>
                <w:rFonts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556" w:type="pct"/>
            <w:vAlign w:val="center"/>
          </w:tcPr>
          <w:p>
            <w:pPr>
              <w:jc w:val="center"/>
              <w:rPr>
                <w:rFonts w:eastAsia="宋体"/>
                <w:sz w:val="24"/>
                <w:szCs w:val="24"/>
              </w:rPr>
            </w:pPr>
            <w:r>
              <w:rPr>
                <w:rFonts w:hint="eastAsia" w:eastAsia="宋体"/>
                <w:sz w:val="24"/>
                <w:szCs w:val="24"/>
              </w:rPr>
              <w:t>总计</w:t>
            </w:r>
          </w:p>
          <w:p>
            <w:pPr>
              <w:jc w:val="center"/>
              <w:rPr>
                <w:rFonts w:eastAsia="宋体"/>
                <w:sz w:val="24"/>
                <w:szCs w:val="24"/>
              </w:rPr>
            </w:pPr>
            <w:r>
              <w:rPr>
                <w:rFonts w:hint="eastAsia" w:eastAsia="宋体"/>
                <w:sz w:val="24"/>
                <w:szCs w:val="24"/>
              </w:rPr>
              <w:t>（元）</w:t>
            </w:r>
          </w:p>
        </w:tc>
        <w:tc>
          <w:tcPr>
            <w:tcW w:w="4443" w:type="pct"/>
            <w:gridSpan w:val="5"/>
            <w:vAlign w:val="center"/>
          </w:tcPr>
          <w:p>
            <w:pPr>
              <w:rPr>
                <w:rFonts w:eastAsia="宋体"/>
                <w:sz w:val="24"/>
                <w:szCs w:val="24"/>
              </w:rPr>
            </w:pPr>
            <w:r>
              <w:rPr>
                <w:rFonts w:hint="eastAsia" w:eastAsia="宋体"/>
                <w:sz w:val="24"/>
                <w:szCs w:val="24"/>
              </w:rPr>
              <w:t xml:space="preserve">小写：¥          </w:t>
            </w:r>
          </w:p>
          <w:p>
            <w:pPr>
              <w:rPr>
                <w:rFonts w:eastAsia="宋体"/>
                <w:sz w:val="24"/>
                <w:szCs w:val="24"/>
              </w:rPr>
            </w:pPr>
            <w:r>
              <w:rPr>
                <w:rFonts w:hint="eastAsia" w:eastAsia="宋体"/>
                <w:sz w:val="24"/>
                <w:szCs w:val="24"/>
              </w:rPr>
              <w:t>大写：</w:t>
            </w:r>
          </w:p>
        </w:tc>
      </w:tr>
    </w:tbl>
    <w:p/>
    <w:p>
      <w:pPr>
        <w:pStyle w:val="44"/>
        <w:spacing w:line="360" w:lineRule="auto"/>
        <w:ind w:firstLine="547" w:firstLineChars="228"/>
        <w:jc w:val="left"/>
        <w:rPr>
          <w:rFonts w:ascii="宋体" w:hAnsi="宋体"/>
          <w:kern w:val="0"/>
          <w:sz w:val="24"/>
          <w:szCs w:val="20"/>
        </w:rPr>
      </w:pPr>
      <w:r>
        <w:rPr>
          <w:rFonts w:hint="eastAsia" w:ascii="宋体" w:hAnsi="宋体"/>
          <w:kern w:val="0"/>
          <w:sz w:val="24"/>
          <w:szCs w:val="20"/>
        </w:rPr>
        <w:t>说明：</w:t>
      </w:r>
    </w:p>
    <w:p>
      <w:pPr>
        <w:pStyle w:val="44"/>
        <w:spacing w:line="360" w:lineRule="auto"/>
        <w:ind w:firstLine="547" w:firstLineChars="228"/>
        <w:jc w:val="left"/>
        <w:rPr>
          <w:rFonts w:ascii="宋体" w:hAnsi="宋体"/>
          <w:kern w:val="0"/>
          <w:sz w:val="24"/>
          <w:szCs w:val="20"/>
        </w:rPr>
      </w:pPr>
      <w:r>
        <w:rPr>
          <w:rFonts w:hint="eastAsia" w:ascii="宋体" w:hAnsi="宋体"/>
          <w:kern w:val="0"/>
          <w:sz w:val="24"/>
          <w:szCs w:val="20"/>
        </w:rPr>
        <w:t>1.此表为《开标一览表》的报价明细表，分项报价表</w:t>
      </w:r>
      <w:r>
        <w:rPr>
          <w:rFonts w:hint="eastAsia" w:ascii="宋体" w:hAnsi="宋体"/>
          <w:kern w:val="0"/>
          <w:sz w:val="24"/>
          <w:szCs w:val="20"/>
          <w:lang w:val="zh-CN"/>
        </w:rPr>
        <w:t>最终报价</w:t>
      </w:r>
      <w:r>
        <w:rPr>
          <w:rFonts w:hint="eastAsia" w:ascii="宋体" w:hAnsi="宋体"/>
          <w:kern w:val="0"/>
          <w:sz w:val="24"/>
          <w:szCs w:val="20"/>
        </w:rPr>
        <w:t>须与开标一览表一致。</w:t>
      </w:r>
    </w:p>
    <w:p>
      <w:pPr>
        <w:pStyle w:val="44"/>
        <w:spacing w:line="360" w:lineRule="auto"/>
        <w:ind w:firstLine="547" w:firstLineChars="228"/>
        <w:jc w:val="left"/>
        <w:rPr>
          <w:rFonts w:ascii="宋体" w:hAnsi="宋体"/>
          <w:kern w:val="0"/>
          <w:sz w:val="24"/>
          <w:szCs w:val="20"/>
        </w:rPr>
      </w:pPr>
      <w:r>
        <w:rPr>
          <w:rFonts w:hint="eastAsia" w:ascii="宋体" w:hAnsi="宋体"/>
          <w:kern w:val="0"/>
          <w:sz w:val="24"/>
          <w:szCs w:val="20"/>
        </w:rPr>
        <w:t>2.</w:t>
      </w:r>
      <w:r>
        <w:rPr>
          <w:rFonts w:hint="eastAsia" w:ascii="宋体" w:hAnsi="宋体" w:cs="宋体"/>
          <w:kern w:val="0"/>
          <w:sz w:val="24"/>
        </w:rPr>
        <w:t>本项目价格采用包干制，报价包括但不限于投标费、设备费、保险费、技术培训费、设备安装费、调试费、人工费等服务成本、法定税费和企业的利润。如竞标文件中要求分项报价而中标人未单独列明的分项价格，将被视为该费用已包含在其他分项中。</w:t>
      </w:r>
    </w:p>
    <w:p>
      <w:pPr>
        <w:pStyle w:val="44"/>
        <w:spacing w:line="360" w:lineRule="auto"/>
        <w:ind w:firstLine="547" w:firstLineChars="228"/>
        <w:jc w:val="left"/>
        <w:rPr>
          <w:rFonts w:ascii="宋体" w:hAnsi="宋体"/>
          <w:kern w:val="0"/>
          <w:sz w:val="24"/>
          <w:szCs w:val="20"/>
        </w:rPr>
      </w:pPr>
      <w:r>
        <w:rPr>
          <w:rFonts w:hint="eastAsia" w:ascii="宋体" w:hAnsi="宋体"/>
          <w:kern w:val="0"/>
          <w:sz w:val="24"/>
          <w:szCs w:val="20"/>
        </w:rPr>
        <w:t>3.投标报价超过采购人预算的，该投标报价视为无效报价，将做投标无效处理。</w:t>
      </w:r>
    </w:p>
    <w:p>
      <w:pPr>
        <w:snapToGrid w:val="0"/>
        <w:spacing w:line="360" w:lineRule="auto"/>
        <w:ind w:firstLine="5640" w:firstLineChars="2350"/>
        <w:rPr>
          <w:rFonts w:ascii="宋体" w:hAnsi="宋体" w:eastAsia="宋体"/>
          <w:sz w:val="24"/>
          <w:szCs w:val="21"/>
        </w:rPr>
      </w:pPr>
    </w:p>
    <w:p>
      <w:pPr>
        <w:snapToGrid w:val="0"/>
        <w:spacing w:line="360" w:lineRule="auto"/>
        <w:ind w:firstLine="5640" w:firstLineChars="2350"/>
        <w:rPr>
          <w:rFonts w:ascii="宋体" w:hAnsi="宋体" w:eastAsia="宋体"/>
          <w:sz w:val="24"/>
          <w:szCs w:val="21"/>
        </w:rPr>
      </w:pPr>
      <w:r>
        <w:rPr>
          <w:rFonts w:hint="eastAsia" w:ascii="宋体" w:hAnsi="宋体" w:eastAsia="宋体"/>
          <w:sz w:val="24"/>
          <w:szCs w:val="21"/>
        </w:rPr>
        <w:t xml:space="preserve">供应商（盖章）： </w:t>
      </w:r>
    </w:p>
    <w:p>
      <w:pPr>
        <w:snapToGrid w:val="0"/>
        <w:spacing w:line="360" w:lineRule="auto"/>
        <w:ind w:firstLine="5640" w:firstLineChars="2350"/>
        <w:rPr>
          <w:rFonts w:ascii="宋体" w:hAnsi="宋体" w:eastAsia="宋体" w:cs="Arial"/>
          <w:bCs/>
          <w:sz w:val="24"/>
          <w:szCs w:val="21"/>
        </w:rPr>
      </w:pPr>
      <w:r>
        <w:rPr>
          <w:rFonts w:hint="eastAsia" w:ascii="宋体" w:hAnsi="宋体" w:eastAsia="宋体" w:cs="Arial"/>
          <w:bCs/>
          <w:sz w:val="24"/>
          <w:szCs w:val="21"/>
        </w:rPr>
        <w:t>日  期：     年   月   日</w:t>
      </w:r>
    </w:p>
    <w:p>
      <w:pPr>
        <w:snapToGrid w:val="0"/>
        <w:spacing w:line="360" w:lineRule="auto"/>
        <w:jc w:val="center"/>
        <w:rPr>
          <w:rFonts w:ascii="宋体" w:hAnsi="宋体"/>
          <w:b/>
          <w:sz w:val="30"/>
          <w:szCs w:val="30"/>
        </w:rPr>
      </w:pPr>
      <w:r>
        <w:rPr>
          <w:rFonts w:ascii="宋体" w:hAnsi="宋体"/>
          <w:b/>
          <w:sz w:val="30"/>
          <w:szCs w:val="30"/>
        </w:rPr>
        <w:br w:type="page"/>
      </w:r>
    </w:p>
    <w:p>
      <w:pPr>
        <w:pStyle w:val="4"/>
        <w:rPr>
          <w:rStyle w:val="42"/>
          <w:b/>
          <w:bCs/>
        </w:rPr>
      </w:pPr>
      <w:bookmarkStart w:id="120" w:name="_Toc2908"/>
      <w:bookmarkStart w:id="121" w:name="_Toc15994"/>
      <w:bookmarkStart w:id="122" w:name="_Toc19971"/>
      <w:r>
        <w:rPr>
          <w:rStyle w:val="42"/>
          <w:rFonts w:hint="eastAsia"/>
          <w:b/>
          <w:bCs/>
        </w:rPr>
        <w:t>八、其他响应资料</w:t>
      </w:r>
      <w:bookmarkEnd w:id="120"/>
      <w:bookmarkEnd w:id="121"/>
      <w:bookmarkEnd w:id="122"/>
    </w:p>
    <w:p>
      <w:pPr>
        <w:pStyle w:val="44"/>
        <w:spacing w:line="360" w:lineRule="auto"/>
        <w:ind w:firstLine="547" w:firstLineChars="228"/>
        <w:jc w:val="left"/>
        <w:rPr>
          <w:rFonts w:ascii="宋体" w:hAnsi="宋体"/>
          <w:kern w:val="0"/>
          <w:sz w:val="24"/>
          <w:szCs w:val="20"/>
        </w:rPr>
      </w:pPr>
    </w:p>
    <w:p>
      <w:pPr>
        <w:pStyle w:val="44"/>
        <w:spacing w:line="360" w:lineRule="auto"/>
        <w:ind w:firstLine="547" w:firstLineChars="228"/>
        <w:jc w:val="left"/>
        <w:rPr>
          <w:rFonts w:ascii="宋体" w:hAnsi="宋体"/>
          <w:kern w:val="0"/>
          <w:sz w:val="24"/>
          <w:szCs w:val="20"/>
        </w:rPr>
      </w:pPr>
      <w:r>
        <w:rPr>
          <w:rFonts w:hint="eastAsia" w:ascii="宋体" w:hAnsi="宋体"/>
          <w:kern w:val="0"/>
          <w:sz w:val="24"/>
          <w:szCs w:val="20"/>
        </w:rPr>
        <w:t>1、营业执照扫描件加盖投标人公章。</w:t>
      </w:r>
    </w:p>
    <w:p>
      <w:pPr>
        <w:pStyle w:val="44"/>
        <w:spacing w:line="360" w:lineRule="auto"/>
        <w:ind w:firstLine="547" w:firstLineChars="228"/>
        <w:jc w:val="left"/>
        <w:rPr>
          <w:rFonts w:ascii="宋体" w:hAnsi="宋体"/>
          <w:kern w:val="0"/>
          <w:sz w:val="24"/>
          <w:szCs w:val="20"/>
        </w:rPr>
      </w:pPr>
      <w:r>
        <w:rPr>
          <w:rFonts w:hint="eastAsia" w:ascii="宋体" w:hAnsi="宋体" w:cs="宋体"/>
          <w:kern w:val="0"/>
          <w:sz w:val="24"/>
          <w:szCs w:val="21"/>
        </w:rPr>
        <w:t>2、</w:t>
      </w:r>
      <w:r>
        <w:rPr>
          <w:rFonts w:hint="eastAsia" w:ascii="宋体" w:hAnsi="宋体" w:cs="宋体"/>
          <w:sz w:val="24"/>
        </w:rPr>
        <w:t>本项目不接受联合体投标，不允许转包分包的承诺函</w:t>
      </w:r>
      <w:r>
        <w:rPr>
          <w:rFonts w:hint="eastAsia" w:ascii="宋体" w:hAnsi="宋体" w:cs="宋体"/>
          <w:b/>
          <w:bCs/>
          <w:kern w:val="0"/>
          <w:sz w:val="24"/>
          <w:szCs w:val="21"/>
        </w:rPr>
        <w:t>（格式自拟）</w:t>
      </w:r>
      <w:r>
        <w:rPr>
          <w:rFonts w:hint="eastAsia" w:ascii="宋体" w:hAnsi="宋体" w:cs="宋体"/>
          <w:sz w:val="24"/>
        </w:rPr>
        <w:t>。</w:t>
      </w:r>
    </w:p>
    <w:p>
      <w:pPr>
        <w:pStyle w:val="44"/>
        <w:spacing w:line="360" w:lineRule="auto"/>
        <w:ind w:firstLine="547" w:firstLineChars="228"/>
        <w:jc w:val="left"/>
        <w:rPr>
          <w:rFonts w:ascii="宋体" w:hAnsi="宋体" w:cs="宋体"/>
          <w:kern w:val="0"/>
          <w:sz w:val="24"/>
          <w:szCs w:val="21"/>
        </w:rPr>
      </w:pPr>
      <w:r>
        <w:rPr>
          <w:rFonts w:hint="eastAsia" w:ascii="宋体" w:hAnsi="宋体" w:cs="宋体"/>
          <w:kern w:val="0"/>
          <w:sz w:val="24"/>
          <w:szCs w:val="21"/>
        </w:rPr>
        <w:t>3、投标人认为需要提交的其他资料</w:t>
      </w:r>
      <w:r>
        <w:rPr>
          <w:rFonts w:hint="eastAsia" w:ascii="宋体" w:hAnsi="宋体" w:cs="宋体"/>
          <w:b/>
          <w:bCs/>
          <w:kern w:val="0"/>
          <w:sz w:val="24"/>
          <w:szCs w:val="21"/>
        </w:rPr>
        <w:t>（格式自拟）</w:t>
      </w:r>
      <w:r>
        <w:rPr>
          <w:rFonts w:hint="eastAsia" w:ascii="宋体" w:hAnsi="宋体" w:cs="宋体"/>
          <w:kern w:val="0"/>
          <w:sz w:val="24"/>
          <w:szCs w:val="21"/>
        </w:rPr>
        <w:t>。</w:t>
      </w:r>
    </w:p>
    <w:p/>
    <w:p/>
    <w:p/>
    <w:sectPr>
      <w:pgSz w:w="11906" w:h="16838"/>
      <w:pgMar w:top="1610" w:right="1610" w:bottom="1610" w:left="16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Batang">
    <w:panose1 w:val="02030600000101010101"/>
    <w:charset w:val="81"/>
    <w:family w:val="roman"/>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21"/>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left"/>
    </w:pPr>
    <w:r>
      <w:rPr>
        <w:rFonts w:hint="eastAsia"/>
      </w:rPr>
      <w:t xml:space="preserve">中吉国际项目管理有限公司                       </w:t>
    </w:r>
    <w:r>
      <w:rPr>
        <w:rFonts w:hint="eastAsia"/>
        <w:lang w:val="en-US" w:eastAsia="zh-CN"/>
      </w:rPr>
      <w:t xml:space="preserve">    </w:t>
    </w:r>
    <w:r>
      <w:rPr>
        <w:rFonts w:hint="eastAsia"/>
      </w:rPr>
      <w:t xml:space="preserve">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xMTMyYjBhNzU3ZThmM2ZiNTY4YTg0NWZmYzQ5OWMifQ=="/>
  </w:docVars>
  <w:rsids>
    <w:rsidRoot w:val="00832BD0"/>
    <w:rsid w:val="00002DEB"/>
    <w:rsid w:val="00006D5E"/>
    <w:rsid w:val="00021245"/>
    <w:rsid w:val="00042463"/>
    <w:rsid w:val="0005127C"/>
    <w:rsid w:val="00051C05"/>
    <w:rsid w:val="00072E70"/>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42F5A"/>
    <w:rsid w:val="00247507"/>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95B6A"/>
    <w:rsid w:val="004A104A"/>
    <w:rsid w:val="004A3B11"/>
    <w:rsid w:val="004A6A3C"/>
    <w:rsid w:val="004A7C43"/>
    <w:rsid w:val="004D4E1C"/>
    <w:rsid w:val="00501BDA"/>
    <w:rsid w:val="00503019"/>
    <w:rsid w:val="005268E5"/>
    <w:rsid w:val="005409C7"/>
    <w:rsid w:val="0054352B"/>
    <w:rsid w:val="00552CF2"/>
    <w:rsid w:val="005741E5"/>
    <w:rsid w:val="0058219D"/>
    <w:rsid w:val="0058317D"/>
    <w:rsid w:val="005A0FB6"/>
    <w:rsid w:val="005A49F5"/>
    <w:rsid w:val="005B51FC"/>
    <w:rsid w:val="005C0757"/>
    <w:rsid w:val="005C1185"/>
    <w:rsid w:val="005D2C6C"/>
    <w:rsid w:val="005E1A47"/>
    <w:rsid w:val="005E25D2"/>
    <w:rsid w:val="005F3C8B"/>
    <w:rsid w:val="006073B0"/>
    <w:rsid w:val="00624798"/>
    <w:rsid w:val="006409BC"/>
    <w:rsid w:val="00662768"/>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778"/>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524A6"/>
    <w:rsid w:val="00B71B32"/>
    <w:rsid w:val="00B7645C"/>
    <w:rsid w:val="00B9020C"/>
    <w:rsid w:val="00BA1F64"/>
    <w:rsid w:val="00BB3B09"/>
    <w:rsid w:val="00BD1C2E"/>
    <w:rsid w:val="00BD3419"/>
    <w:rsid w:val="00BD4ECE"/>
    <w:rsid w:val="00C00595"/>
    <w:rsid w:val="00C02334"/>
    <w:rsid w:val="00C04C41"/>
    <w:rsid w:val="00C05D67"/>
    <w:rsid w:val="00C071B0"/>
    <w:rsid w:val="00C13A44"/>
    <w:rsid w:val="00C3747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E43C3"/>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538F"/>
    <w:rsid w:val="00F80E4D"/>
    <w:rsid w:val="00F85EF7"/>
    <w:rsid w:val="00F85FCB"/>
    <w:rsid w:val="00F90670"/>
    <w:rsid w:val="00F911E5"/>
    <w:rsid w:val="00F964FA"/>
    <w:rsid w:val="00FA3A55"/>
    <w:rsid w:val="00FD4A8E"/>
    <w:rsid w:val="00FF57B7"/>
    <w:rsid w:val="01230F2A"/>
    <w:rsid w:val="029E063F"/>
    <w:rsid w:val="02C665C5"/>
    <w:rsid w:val="030F0650"/>
    <w:rsid w:val="033015AD"/>
    <w:rsid w:val="044D6D83"/>
    <w:rsid w:val="050213DD"/>
    <w:rsid w:val="05C32E86"/>
    <w:rsid w:val="061E65E2"/>
    <w:rsid w:val="0690138F"/>
    <w:rsid w:val="084560A8"/>
    <w:rsid w:val="08896BA5"/>
    <w:rsid w:val="094E08FF"/>
    <w:rsid w:val="0979652C"/>
    <w:rsid w:val="098B240C"/>
    <w:rsid w:val="0A137DAF"/>
    <w:rsid w:val="0A5371A2"/>
    <w:rsid w:val="0B4A5422"/>
    <w:rsid w:val="0BA90C1F"/>
    <w:rsid w:val="0BE52824"/>
    <w:rsid w:val="0C1D1AFC"/>
    <w:rsid w:val="0C272694"/>
    <w:rsid w:val="0D0606D1"/>
    <w:rsid w:val="0F2B7E3D"/>
    <w:rsid w:val="0F4A0448"/>
    <w:rsid w:val="10267E38"/>
    <w:rsid w:val="10C0767E"/>
    <w:rsid w:val="10F70F5E"/>
    <w:rsid w:val="11313685"/>
    <w:rsid w:val="11B952F3"/>
    <w:rsid w:val="122C07A2"/>
    <w:rsid w:val="128D6FC9"/>
    <w:rsid w:val="13C930A9"/>
    <w:rsid w:val="164A6673"/>
    <w:rsid w:val="17C02DE5"/>
    <w:rsid w:val="18F252DA"/>
    <w:rsid w:val="1A045493"/>
    <w:rsid w:val="1A4408B5"/>
    <w:rsid w:val="1AA86917"/>
    <w:rsid w:val="1B6A434C"/>
    <w:rsid w:val="1B6C00C4"/>
    <w:rsid w:val="1CF93DCA"/>
    <w:rsid w:val="1DEF2F57"/>
    <w:rsid w:val="1E310009"/>
    <w:rsid w:val="1E532F18"/>
    <w:rsid w:val="1E727D04"/>
    <w:rsid w:val="1EA14349"/>
    <w:rsid w:val="1F0F163B"/>
    <w:rsid w:val="20D0085E"/>
    <w:rsid w:val="215D487C"/>
    <w:rsid w:val="21DC5877"/>
    <w:rsid w:val="21F9093D"/>
    <w:rsid w:val="22417751"/>
    <w:rsid w:val="22496D4C"/>
    <w:rsid w:val="22C04851"/>
    <w:rsid w:val="22FB3E51"/>
    <w:rsid w:val="23E34C9B"/>
    <w:rsid w:val="24B57D8C"/>
    <w:rsid w:val="24D77023"/>
    <w:rsid w:val="25247077"/>
    <w:rsid w:val="25467199"/>
    <w:rsid w:val="26231BA4"/>
    <w:rsid w:val="27683210"/>
    <w:rsid w:val="27D67089"/>
    <w:rsid w:val="27F751B9"/>
    <w:rsid w:val="281F73A4"/>
    <w:rsid w:val="28810F26"/>
    <w:rsid w:val="28855035"/>
    <w:rsid w:val="28D71ED6"/>
    <w:rsid w:val="28E07D0E"/>
    <w:rsid w:val="29534C78"/>
    <w:rsid w:val="29556CF3"/>
    <w:rsid w:val="2B5B6D3D"/>
    <w:rsid w:val="2C1874AC"/>
    <w:rsid w:val="2C277B50"/>
    <w:rsid w:val="2C7719FA"/>
    <w:rsid w:val="2CCA4099"/>
    <w:rsid w:val="2D0B5D4B"/>
    <w:rsid w:val="2DEC05FC"/>
    <w:rsid w:val="2DFE7240"/>
    <w:rsid w:val="2E074870"/>
    <w:rsid w:val="2F04062A"/>
    <w:rsid w:val="2F51458C"/>
    <w:rsid w:val="2FA30C55"/>
    <w:rsid w:val="304F572C"/>
    <w:rsid w:val="320E3234"/>
    <w:rsid w:val="32332F7E"/>
    <w:rsid w:val="32634339"/>
    <w:rsid w:val="32B26F60"/>
    <w:rsid w:val="337363CA"/>
    <w:rsid w:val="337C7F5C"/>
    <w:rsid w:val="33BD164C"/>
    <w:rsid w:val="33C65D6B"/>
    <w:rsid w:val="349917DF"/>
    <w:rsid w:val="356A12DA"/>
    <w:rsid w:val="35937A3F"/>
    <w:rsid w:val="368F6CAC"/>
    <w:rsid w:val="36FF4C08"/>
    <w:rsid w:val="37B57669"/>
    <w:rsid w:val="37DC7025"/>
    <w:rsid w:val="38331CFE"/>
    <w:rsid w:val="389E5045"/>
    <w:rsid w:val="39E75B2D"/>
    <w:rsid w:val="3B0D69E5"/>
    <w:rsid w:val="3C7921E9"/>
    <w:rsid w:val="3CC2593E"/>
    <w:rsid w:val="3D0A7931"/>
    <w:rsid w:val="3D181C2D"/>
    <w:rsid w:val="3D654BFB"/>
    <w:rsid w:val="3D962014"/>
    <w:rsid w:val="3DC752E5"/>
    <w:rsid w:val="3DD63C16"/>
    <w:rsid w:val="3DF2449B"/>
    <w:rsid w:val="3E1A3557"/>
    <w:rsid w:val="3F84431C"/>
    <w:rsid w:val="41EC0D67"/>
    <w:rsid w:val="42F53FE0"/>
    <w:rsid w:val="42F57C79"/>
    <w:rsid w:val="435D1B03"/>
    <w:rsid w:val="43830FB6"/>
    <w:rsid w:val="44A24F22"/>
    <w:rsid w:val="454C0423"/>
    <w:rsid w:val="46E70A10"/>
    <w:rsid w:val="47615C57"/>
    <w:rsid w:val="479152B7"/>
    <w:rsid w:val="47E30E5E"/>
    <w:rsid w:val="47EA5C92"/>
    <w:rsid w:val="48445E95"/>
    <w:rsid w:val="48763A1A"/>
    <w:rsid w:val="48E44E8E"/>
    <w:rsid w:val="49272E24"/>
    <w:rsid w:val="4938307D"/>
    <w:rsid w:val="49A71D17"/>
    <w:rsid w:val="49AB1508"/>
    <w:rsid w:val="4A734632"/>
    <w:rsid w:val="4B124205"/>
    <w:rsid w:val="4C03753D"/>
    <w:rsid w:val="4C7C0815"/>
    <w:rsid w:val="4D0B5735"/>
    <w:rsid w:val="4D53309F"/>
    <w:rsid w:val="4D550F1B"/>
    <w:rsid w:val="4D5D520F"/>
    <w:rsid w:val="4DD5729C"/>
    <w:rsid w:val="4DE05162"/>
    <w:rsid w:val="50306AAF"/>
    <w:rsid w:val="50E90793"/>
    <w:rsid w:val="51C500E6"/>
    <w:rsid w:val="51D269B3"/>
    <w:rsid w:val="52453C23"/>
    <w:rsid w:val="52970B83"/>
    <w:rsid w:val="52BB6C5F"/>
    <w:rsid w:val="52C17DFF"/>
    <w:rsid w:val="53704536"/>
    <w:rsid w:val="53DF5F6C"/>
    <w:rsid w:val="547C3DF0"/>
    <w:rsid w:val="56A8574D"/>
    <w:rsid w:val="590217EA"/>
    <w:rsid w:val="593110D8"/>
    <w:rsid w:val="5A581238"/>
    <w:rsid w:val="5AD7633B"/>
    <w:rsid w:val="5BFE3A0B"/>
    <w:rsid w:val="5C3362F5"/>
    <w:rsid w:val="5CA60D7A"/>
    <w:rsid w:val="5D435705"/>
    <w:rsid w:val="5D6B1282"/>
    <w:rsid w:val="5E927454"/>
    <w:rsid w:val="5EA0662A"/>
    <w:rsid w:val="5EAE7678"/>
    <w:rsid w:val="5EBE0C2A"/>
    <w:rsid w:val="5ECC7AFE"/>
    <w:rsid w:val="5EFB79B3"/>
    <w:rsid w:val="5F627325"/>
    <w:rsid w:val="5F8B5C0B"/>
    <w:rsid w:val="5FEE2E84"/>
    <w:rsid w:val="60437D20"/>
    <w:rsid w:val="606E5CB4"/>
    <w:rsid w:val="609129BF"/>
    <w:rsid w:val="60B8658C"/>
    <w:rsid w:val="61563C3E"/>
    <w:rsid w:val="61F04078"/>
    <w:rsid w:val="64C36C01"/>
    <w:rsid w:val="65CE6852"/>
    <w:rsid w:val="65E51E23"/>
    <w:rsid w:val="6609788A"/>
    <w:rsid w:val="660D3E55"/>
    <w:rsid w:val="666D0940"/>
    <w:rsid w:val="668D4017"/>
    <w:rsid w:val="66DC1BBD"/>
    <w:rsid w:val="678F5467"/>
    <w:rsid w:val="67DE00D5"/>
    <w:rsid w:val="67E84ECC"/>
    <w:rsid w:val="68C218BB"/>
    <w:rsid w:val="69184B05"/>
    <w:rsid w:val="69496739"/>
    <w:rsid w:val="69A55889"/>
    <w:rsid w:val="6A553938"/>
    <w:rsid w:val="6A9D01A3"/>
    <w:rsid w:val="6CDF30F3"/>
    <w:rsid w:val="6F131AC6"/>
    <w:rsid w:val="6F6D4987"/>
    <w:rsid w:val="6FE03A7E"/>
    <w:rsid w:val="700E441B"/>
    <w:rsid w:val="708604AF"/>
    <w:rsid w:val="70CF71A0"/>
    <w:rsid w:val="70F11993"/>
    <w:rsid w:val="71157A1B"/>
    <w:rsid w:val="71F12C75"/>
    <w:rsid w:val="726D1B2C"/>
    <w:rsid w:val="72B117AE"/>
    <w:rsid w:val="72BC2631"/>
    <w:rsid w:val="735772D4"/>
    <w:rsid w:val="73B246E9"/>
    <w:rsid w:val="73BE089F"/>
    <w:rsid w:val="756024C8"/>
    <w:rsid w:val="763B3A90"/>
    <w:rsid w:val="767F6B9B"/>
    <w:rsid w:val="76D20340"/>
    <w:rsid w:val="76D61494"/>
    <w:rsid w:val="76DC7B92"/>
    <w:rsid w:val="7750356B"/>
    <w:rsid w:val="78D677D9"/>
    <w:rsid w:val="78F9553C"/>
    <w:rsid w:val="79336CA0"/>
    <w:rsid w:val="7A1A4B4D"/>
    <w:rsid w:val="7AB0585B"/>
    <w:rsid w:val="7AC2141A"/>
    <w:rsid w:val="7B25086A"/>
    <w:rsid w:val="7B67046C"/>
    <w:rsid w:val="7BDD358D"/>
    <w:rsid w:val="7BF647DF"/>
    <w:rsid w:val="7C246D74"/>
    <w:rsid w:val="7CA02B3A"/>
    <w:rsid w:val="7DB63F5A"/>
    <w:rsid w:val="7E6D35EB"/>
    <w:rsid w:val="7EA073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40"/>
    <w:qFormat/>
    <w:uiPriority w:val="0"/>
    <w:pPr>
      <w:keepNext/>
      <w:keepLines/>
      <w:spacing w:before="120" w:after="120"/>
      <w:jc w:val="center"/>
      <w:outlineLvl w:val="0"/>
    </w:pPr>
    <w:rPr>
      <w:rFonts w:ascii="Times New Roman" w:hAnsi="Times New Roman" w:eastAsia="宋体"/>
      <w:b/>
      <w:kern w:val="44"/>
      <w:sz w:val="24"/>
      <w:szCs w:val="20"/>
    </w:rPr>
  </w:style>
  <w:style w:type="paragraph" w:styleId="4">
    <w:name w:val="heading 2"/>
    <w:basedOn w:val="1"/>
    <w:next w:val="1"/>
    <w:link w:val="42"/>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5">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6">
    <w:name w:val="toc 7"/>
    <w:basedOn w:val="1"/>
    <w:next w:val="1"/>
    <w:unhideWhenUsed/>
    <w:qFormat/>
    <w:uiPriority w:val="39"/>
    <w:pPr>
      <w:ind w:left="1260"/>
      <w:jc w:val="left"/>
    </w:pPr>
    <w:rPr>
      <w:rFonts w:asciiTheme="minorHAnsi" w:hAnsiTheme="minorHAnsi" w:cstheme="minorHAnsi"/>
      <w:sz w:val="18"/>
      <w:szCs w:val="18"/>
    </w:rPr>
  </w:style>
  <w:style w:type="paragraph" w:styleId="7">
    <w:name w:val="Normal Indent"/>
    <w:basedOn w:val="1"/>
    <w:link w:val="43"/>
    <w:qFormat/>
    <w:uiPriority w:val="0"/>
    <w:pPr>
      <w:ind w:firstLine="420"/>
    </w:pPr>
    <w:rPr>
      <w:rFonts w:ascii="Arial Unicode MS" w:hAnsi="Arial Unicode MS" w:eastAsia="仿宋_GB2312"/>
      <w:sz w:val="24"/>
      <w:szCs w:val="20"/>
    </w:rPr>
  </w:style>
  <w:style w:type="paragraph" w:styleId="8">
    <w:name w:val="Document Map"/>
    <w:basedOn w:val="1"/>
    <w:link w:val="41"/>
    <w:semiHidden/>
    <w:unhideWhenUsed/>
    <w:qFormat/>
    <w:uiPriority w:val="99"/>
    <w:rPr>
      <w:rFonts w:ascii="宋体" w:eastAsia="宋体"/>
      <w:sz w:val="18"/>
      <w:szCs w:val="18"/>
    </w:rPr>
  </w:style>
  <w:style w:type="paragraph" w:styleId="9">
    <w:name w:val="annotation text"/>
    <w:basedOn w:val="1"/>
    <w:next w:val="10"/>
    <w:link w:val="51"/>
    <w:unhideWhenUsed/>
    <w:qFormat/>
    <w:uiPriority w:val="99"/>
    <w:pPr>
      <w:jc w:val="left"/>
    </w:pPr>
  </w:style>
  <w:style w:type="paragraph" w:styleId="10">
    <w:name w:val="toc 5"/>
    <w:basedOn w:val="1"/>
    <w:next w:val="1"/>
    <w:unhideWhenUsed/>
    <w:qFormat/>
    <w:uiPriority w:val="39"/>
    <w:pPr>
      <w:ind w:left="840"/>
      <w:jc w:val="left"/>
    </w:pPr>
    <w:rPr>
      <w:rFonts w:asciiTheme="minorHAnsi" w:hAnsiTheme="minorHAnsi" w:cstheme="minorHAnsi"/>
      <w:sz w:val="18"/>
      <w:szCs w:val="18"/>
    </w:rPr>
  </w:style>
  <w:style w:type="paragraph" w:styleId="11">
    <w:name w:val="Body Text"/>
    <w:basedOn w:val="1"/>
    <w:next w:val="12"/>
    <w:link w:val="39"/>
    <w:qFormat/>
    <w:uiPriority w:val="0"/>
    <w:pPr>
      <w:widowControl/>
      <w:spacing w:after="120"/>
      <w:jc w:val="left"/>
    </w:pPr>
    <w:rPr>
      <w:rFonts w:ascii="Times New Roman" w:hAnsi="Times New Roman" w:eastAsia="宋体" w:cstheme="minorBidi"/>
    </w:rPr>
  </w:style>
  <w:style w:type="paragraph" w:styleId="12">
    <w:name w:val="Body Text First Indent"/>
    <w:basedOn w:val="11"/>
    <w:next w:val="13"/>
    <w:qFormat/>
    <w:uiPriority w:val="0"/>
    <w:pPr>
      <w:widowControl w:val="0"/>
      <w:adjustRightInd w:val="0"/>
      <w:spacing w:after="0" w:line="312" w:lineRule="auto"/>
      <w:ind w:firstLine="567"/>
      <w:jc w:val="both"/>
      <w:textAlignment w:val="baseline"/>
    </w:pPr>
    <w:rPr>
      <w:sz w:val="28"/>
    </w:rPr>
  </w:style>
  <w:style w:type="paragraph" w:styleId="13">
    <w:name w:val="toc 6"/>
    <w:basedOn w:val="1"/>
    <w:next w:val="1"/>
    <w:unhideWhenUsed/>
    <w:qFormat/>
    <w:uiPriority w:val="39"/>
    <w:pPr>
      <w:ind w:left="1050"/>
      <w:jc w:val="left"/>
    </w:pPr>
    <w:rPr>
      <w:rFonts w:asciiTheme="minorHAnsi" w:hAnsiTheme="minorHAnsi" w:cstheme="minorHAnsi"/>
      <w:sz w:val="18"/>
      <w:szCs w:val="18"/>
    </w:rPr>
  </w:style>
  <w:style w:type="paragraph" w:styleId="14">
    <w:name w:val="Body Text Indent"/>
    <w:basedOn w:val="1"/>
    <w:next w:val="15"/>
    <w:qFormat/>
    <w:uiPriority w:val="0"/>
    <w:pPr>
      <w:spacing w:line="440" w:lineRule="exact"/>
      <w:ind w:firstLine="560" w:firstLineChars="200"/>
    </w:pPr>
    <w:rPr>
      <w:rFonts w:ascii="Times New Roman" w:hAnsi="Times New Roman"/>
      <w:sz w:val="24"/>
      <w:szCs w:val="24"/>
    </w:rPr>
  </w:style>
  <w:style w:type="paragraph" w:styleId="15">
    <w:name w:val="envelope return"/>
    <w:basedOn w:val="1"/>
    <w:qFormat/>
    <w:uiPriority w:val="99"/>
    <w:rPr>
      <w:rFonts w:ascii="Arial" w:hAnsi="Arial"/>
    </w:rPr>
  </w:style>
  <w:style w:type="paragraph" w:styleId="16">
    <w:name w:val="toc 3"/>
    <w:basedOn w:val="1"/>
    <w:next w:val="1"/>
    <w:unhideWhenUsed/>
    <w:qFormat/>
    <w:uiPriority w:val="39"/>
    <w:pPr>
      <w:ind w:left="420"/>
      <w:jc w:val="left"/>
    </w:pPr>
    <w:rPr>
      <w:rFonts w:asciiTheme="minorHAnsi" w:hAnsiTheme="minorHAnsi" w:cstheme="minorHAnsi"/>
      <w:i/>
      <w:iCs/>
      <w:sz w:val="20"/>
      <w:szCs w:val="20"/>
    </w:rPr>
  </w:style>
  <w:style w:type="paragraph" w:styleId="17">
    <w:name w:val="Plain Text"/>
    <w:basedOn w:val="1"/>
    <w:next w:val="18"/>
    <w:qFormat/>
    <w:uiPriority w:val="0"/>
    <w:rPr>
      <w:rFonts w:ascii="宋体" w:hAnsi="Courier New"/>
    </w:rPr>
  </w:style>
  <w:style w:type="paragraph" w:customStyle="1" w:styleId="18">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19">
    <w:name w:val="toc 8"/>
    <w:basedOn w:val="1"/>
    <w:next w:val="1"/>
    <w:unhideWhenUsed/>
    <w:qFormat/>
    <w:uiPriority w:val="39"/>
    <w:pPr>
      <w:ind w:left="1470"/>
      <w:jc w:val="left"/>
    </w:pPr>
    <w:rPr>
      <w:rFonts w:asciiTheme="minorHAnsi" w:hAnsiTheme="minorHAnsi" w:cstheme="minorHAnsi"/>
      <w:sz w:val="18"/>
      <w:szCs w:val="18"/>
    </w:rPr>
  </w:style>
  <w:style w:type="paragraph" w:styleId="20">
    <w:name w:val="Balloon Text"/>
    <w:basedOn w:val="1"/>
    <w:link w:val="37"/>
    <w:semiHidden/>
    <w:unhideWhenUsed/>
    <w:qFormat/>
    <w:uiPriority w:val="99"/>
    <w:rPr>
      <w:rFonts w:asciiTheme="minorHAnsi" w:hAnsiTheme="minorHAnsi" w:eastAsiaTheme="minorEastAsia" w:cstheme="minorBidi"/>
      <w:sz w:val="18"/>
      <w:szCs w:val="18"/>
    </w:rPr>
  </w:style>
  <w:style w:type="paragraph" w:styleId="21">
    <w:name w:val="footer"/>
    <w:basedOn w:val="1"/>
    <w:link w:val="3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2">
    <w:name w:val="header"/>
    <w:basedOn w:val="1"/>
    <w:link w:val="3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3">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24">
    <w:name w:val="toc 4"/>
    <w:basedOn w:val="1"/>
    <w:next w:val="1"/>
    <w:unhideWhenUsed/>
    <w:qFormat/>
    <w:uiPriority w:val="39"/>
    <w:pPr>
      <w:ind w:left="630"/>
      <w:jc w:val="left"/>
    </w:pPr>
    <w:rPr>
      <w:rFonts w:asciiTheme="minorHAnsi" w:hAnsiTheme="minorHAnsi" w:cstheme="minorHAnsi"/>
      <w:sz w:val="18"/>
      <w:szCs w:val="18"/>
    </w:rPr>
  </w:style>
  <w:style w:type="paragraph" w:styleId="25">
    <w:name w:val="toc 2"/>
    <w:basedOn w:val="1"/>
    <w:next w:val="1"/>
    <w:qFormat/>
    <w:uiPriority w:val="39"/>
    <w:pPr>
      <w:ind w:left="210"/>
      <w:jc w:val="left"/>
    </w:pPr>
    <w:rPr>
      <w:rFonts w:asciiTheme="minorHAnsi" w:hAnsiTheme="minorHAnsi" w:cstheme="minorHAnsi"/>
      <w:smallCaps/>
      <w:sz w:val="20"/>
      <w:szCs w:val="20"/>
    </w:rPr>
  </w:style>
  <w:style w:type="paragraph" w:styleId="26">
    <w:name w:val="toc 9"/>
    <w:basedOn w:val="1"/>
    <w:next w:val="1"/>
    <w:unhideWhenUsed/>
    <w:qFormat/>
    <w:uiPriority w:val="39"/>
    <w:pPr>
      <w:ind w:left="1680"/>
      <w:jc w:val="left"/>
    </w:pPr>
    <w:rPr>
      <w:rFonts w:asciiTheme="minorHAnsi" w:hAnsiTheme="minorHAnsi" w:cstheme="minorHAnsi"/>
      <w:sz w:val="18"/>
      <w:szCs w:val="18"/>
    </w:rPr>
  </w:style>
  <w:style w:type="paragraph" w:styleId="27">
    <w:name w:val="Body Text 2"/>
    <w:basedOn w:val="1"/>
    <w:next w:val="11"/>
    <w:qFormat/>
    <w:uiPriority w:val="0"/>
    <w:pPr>
      <w:spacing w:line="360" w:lineRule="auto"/>
    </w:pPr>
  </w:style>
  <w:style w:type="paragraph" w:styleId="28">
    <w:name w:val="annotation subject"/>
    <w:basedOn w:val="9"/>
    <w:next w:val="9"/>
    <w:link w:val="52"/>
    <w:semiHidden/>
    <w:unhideWhenUsed/>
    <w:qFormat/>
    <w:uiPriority w:val="99"/>
    <w:rPr>
      <w:b/>
      <w:bCs/>
    </w:rPr>
  </w:style>
  <w:style w:type="paragraph" w:styleId="29">
    <w:name w:val="Body Text First Indent 2"/>
    <w:basedOn w:val="14"/>
    <w:qFormat/>
    <w:uiPriority w:val="0"/>
    <w:pPr>
      <w:ind w:firstLine="420"/>
    </w:pPr>
    <w:rPr>
      <w:rFonts w:ascii="Calibri" w:hAnsi="Calibri"/>
      <w:szCs w:val="20"/>
    </w:r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Hyperlink"/>
    <w:basedOn w:val="32"/>
    <w:qFormat/>
    <w:uiPriority w:val="99"/>
    <w:rPr>
      <w:rFonts w:cs="Times New Roman"/>
      <w:color w:val="0000FF"/>
      <w:u w:val="single"/>
    </w:rPr>
  </w:style>
  <w:style w:type="character" w:styleId="34">
    <w:name w:val="annotation reference"/>
    <w:basedOn w:val="32"/>
    <w:semiHidden/>
    <w:unhideWhenUsed/>
    <w:qFormat/>
    <w:uiPriority w:val="99"/>
    <w:rPr>
      <w:sz w:val="21"/>
      <w:szCs w:val="21"/>
    </w:rPr>
  </w:style>
  <w:style w:type="character" w:customStyle="1" w:styleId="35">
    <w:name w:val="页眉 字符"/>
    <w:basedOn w:val="32"/>
    <w:link w:val="22"/>
    <w:qFormat/>
    <w:uiPriority w:val="99"/>
    <w:rPr>
      <w:sz w:val="18"/>
      <w:szCs w:val="18"/>
    </w:rPr>
  </w:style>
  <w:style w:type="character" w:customStyle="1" w:styleId="36">
    <w:name w:val="页脚 字符"/>
    <w:basedOn w:val="32"/>
    <w:link w:val="21"/>
    <w:qFormat/>
    <w:uiPriority w:val="99"/>
    <w:rPr>
      <w:sz w:val="18"/>
      <w:szCs w:val="18"/>
    </w:rPr>
  </w:style>
  <w:style w:type="character" w:customStyle="1" w:styleId="37">
    <w:name w:val="批注框文本 字符"/>
    <w:basedOn w:val="32"/>
    <w:link w:val="20"/>
    <w:semiHidden/>
    <w:qFormat/>
    <w:uiPriority w:val="99"/>
    <w:rPr>
      <w:sz w:val="18"/>
      <w:szCs w:val="18"/>
    </w:rPr>
  </w:style>
  <w:style w:type="character" w:customStyle="1" w:styleId="38">
    <w:name w:val="正文文本 Char"/>
    <w:qFormat/>
    <w:uiPriority w:val="0"/>
    <w:rPr>
      <w:rFonts w:ascii="Times New Roman" w:hAnsi="Times New Roman" w:eastAsia="宋体"/>
    </w:rPr>
  </w:style>
  <w:style w:type="character" w:customStyle="1" w:styleId="39">
    <w:name w:val="正文文本 字符"/>
    <w:basedOn w:val="32"/>
    <w:link w:val="11"/>
    <w:semiHidden/>
    <w:qFormat/>
    <w:uiPriority w:val="99"/>
    <w:rPr>
      <w:rFonts w:ascii="等线" w:hAnsi="等线" w:eastAsia="等线" w:cs="Times New Roman"/>
    </w:rPr>
  </w:style>
  <w:style w:type="character" w:customStyle="1" w:styleId="40">
    <w:name w:val="标题 1 字符"/>
    <w:basedOn w:val="32"/>
    <w:link w:val="3"/>
    <w:qFormat/>
    <w:uiPriority w:val="0"/>
    <w:rPr>
      <w:rFonts w:ascii="Times New Roman" w:hAnsi="Times New Roman" w:eastAsia="宋体" w:cs="Times New Roman"/>
      <w:b/>
      <w:kern w:val="44"/>
      <w:sz w:val="24"/>
      <w:szCs w:val="20"/>
    </w:rPr>
  </w:style>
  <w:style w:type="character" w:customStyle="1" w:styleId="41">
    <w:name w:val="文档结构图 字符"/>
    <w:basedOn w:val="32"/>
    <w:link w:val="8"/>
    <w:semiHidden/>
    <w:qFormat/>
    <w:uiPriority w:val="99"/>
    <w:rPr>
      <w:rFonts w:ascii="宋体" w:hAnsi="等线" w:eastAsia="宋体" w:cs="Times New Roman"/>
      <w:sz w:val="18"/>
      <w:szCs w:val="18"/>
    </w:rPr>
  </w:style>
  <w:style w:type="character" w:customStyle="1" w:styleId="42">
    <w:name w:val="标题 2 字符"/>
    <w:basedOn w:val="32"/>
    <w:link w:val="4"/>
    <w:semiHidden/>
    <w:qFormat/>
    <w:uiPriority w:val="9"/>
    <w:rPr>
      <w:rFonts w:asciiTheme="majorHAnsi" w:hAnsiTheme="majorHAnsi" w:eastAsiaTheme="majorEastAsia" w:cstheme="majorBidi"/>
      <w:b/>
      <w:bCs/>
      <w:sz w:val="32"/>
      <w:szCs w:val="32"/>
    </w:rPr>
  </w:style>
  <w:style w:type="character" w:customStyle="1" w:styleId="43">
    <w:name w:val="正文缩进 字符"/>
    <w:link w:val="7"/>
    <w:qFormat/>
    <w:locked/>
    <w:uiPriority w:val="0"/>
    <w:rPr>
      <w:rFonts w:ascii="Arial Unicode MS" w:hAnsi="Arial Unicode MS" w:eastAsia="仿宋_GB2312" w:cs="Times New Roman"/>
      <w:sz w:val="24"/>
      <w:szCs w:val="20"/>
    </w:rPr>
  </w:style>
  <w:style w:type="paragraph" w:customStyle="1" w:styleId="44">
    <w:name w:val="列出段落1"/>
    <w:basedOn w:val="1"/>
    <w:qFormat/>
    <w:uiPriority w:val="34"/>
    <w:pPr>
      <w:ind w:firstLine="420" w:firstLineChars="200"/>
    </w:pPr>
    <w:rPr>
      <w:rFonts w:ascii="Times New Roman" w:hAnsi="Times New Roman" w:eastAsia="宋体"/>
      <w:szCs w:val="24"/>
    </w:rPr>
  </w:style>
  <w:style w:type="character" w:customStyle="1" w:styleId="45">
    <w:name w:val="font31"/>
    <w:basedOn w:val="32"/>
    <w:qFormat/>
    <w:uiPriority w:val="0"/>
    <w:rPr>
      <w:rFonts w:hint="eastAsia" w:ascii="仿宋" w:hAnsi="仿宋" w:eastAsia="仿宋" w:cs="仿宋"/>
      <w:color w:val="000000"/>
      <w:sz w:val="28"/>
      <w:szCs w:val="28"/>
      <w:u w:val="none"/>
    </w:rPr>
  </w:style>
  <w:style w:type="paragraph" w:customStyle="1" w:styleId="46">
    <w:name w:val="正文2"/>
    <w:basedOn w:val="1"/>
    <w:qFormat/>
    <w:uiPriority w:val="0"/>
    <w:rPr>
      <w:rFonts w:ascii="Times New Roman" w:hAnsi="Times New Roman" w:eastAsia="仿宋"/>
      <w:color w:val="000000"/>
      <w:szCs w:val="21"/>
    </w:rPr>
  </w:style>
  <w:style w:type="character" w:customStyle="1" w:styleId="47">
    <w:name w:val="NormalCharacter"/>
    <w:qFormat/>
    <w:uiPriority w:val="0"/>
  </w:style>
  <w:style w:type="paragraph" w:customStyle="1" w:styleId="48">
    <w:name w:val="图"/>
    <w:basedOn w:val="1"/>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9">
    <w:name w:val="*正文"/>
    <w:basedOn w:val="1"/>
    <w:qFormat/>
    <w:uiPriority w:val="0"/>
    <w:pPr>
      <w:spacing w:line="360" w:lineRule="auto"/>
      <w:ind w:firstLine="200" w:firstLineChars="200"/>
    </w:pPr>
    <w:rPr>
      <w:rFonts w:ascii="宋体" w:hAnsi="宋体"/>
      <w:kern w:val="0"/>
      <w:sz w:val="22"/>
      <w:szCs w:val="24"/>
    </w:rPr>
  </w:style>
  <w:style w:type="paragraph" w:customStyle="1" w:styleId="50">
    <w:name w:val="修订1"/>
    <w:hidden/>
    <w:semiHidden/>
    <w:qFormat/>
    <w:uiPriority w:val="99"/>
    <w:rPr>
      <w:rFonts w:ascii="等线" w:hAnsi="等线" w:eastAsia="等线" w:cs="Times New Roman"/>
      <w:kern w:val="2"/>
      <w:sz w:val="21"/>
      <w:szCs w:val="22"/>
      <w:lang w:val="en-US" w:eastAsia="zh-CN" w:bidi="ar-SA"/>
    </w:rPr>
  </w:style>
  <w:style w:type="character" w:customStyle="1" w:styleId="51">
    <w:name w:val="批注文字 字符"/>
    <w:basedOn w:val="32"/>
    <w:link w:val="9"/>
    <w:qFormat/>
    <w:uiPriority w:val="99"/>
    <w:rPr>
      <w:rFonts w:eastAsia="等线"/>
      <w:kern w:val="2"/>
      <w:sz w:val="21"/>
      <w:szCs w:val="22"/>
    </w:rPr>
  </w:style>
  <w:style w:type="character" w:customStyle="1" w:styleId="52">
    <w:name w:val="批注主题 字符"/>
    <w:basedOn w:val="51"/>
    <w:link w:val="28"/>
    <w:semiHidden/>
    <w:qFormat/>
    <w:uiPriority w:val="99"/>
    <w:rPr>
      <w:rFonts w:eastAsia="等线"/>
      <w:b/>
      <w:bCs/>
      <w:kern w:val="2"/>
      <w:sz w:val="21"/>
      <w:szCs w:val="22"/>
    </w:rPr>
  </w:style>
  <w:style w:type="paragraph" w:customStyle="1" w:styleId="53">
    <w:name w:val="表格文字"/>
    <w:basedOn w:val="1"/>
    <w:next w:val="11"/>
    <w:qFormat/>
    <w:uiPriority w:val="0"/>
    <w:pPr>
      <w:widowControl/>
      <w:adjustRightInd w:val="0"/>
      <w:spacing w:line="420" w:lineRule="atLeast"/>
      <w:jc w:val="left"/>
      <w:textAlignment w:val="baseline"/>
    </w:pPr>
    <w:rPr>
      <w:rFonts w:ascii="Times New Roman" w:hAnsi="Times New Roman" w:eastAsia="宋体"/>
      <w:kern w:val="0"/>
      <w:szCs w:val="20"/>
    </w:rPr>
  </w:style>
  <w:style w:type="paragraph" w:styleId="54">
    <w:name w:val="List Paragraph"/>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26</Pages>
  <Words>10581</Words>
  <Characters>11136</Characters>
  <Lines>90</Lines>
  <Paragraphs>25</Paragraphs>
  <TotalTime>19</TotalTime>
  <ScaleCrop>false</ScaleCrop>
  <LinksUpToDate>false</LinksUpToDate>
  <CharactersWithSpaces>11524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2023-06-29T03:35:00Z</dcterms:created>
  <dc:creator>PC</dc:creator>
  <cp:lastModifiedBy>LIN</cp:lastModifiedBy>
  <cp:lastPrinted>2021-11-18T01:02:00Z</cp:lastPrinted>
  <dcterms:modified xsi:type="dcterms:W3CDTF">2023-07-04T03:23:21Z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61DEAF1F64544EC7B508AE670DC02357_13</vt:lpwstr>
  </property>
</Properties>
</file>